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xn-earnings-predictions--2026-07-22"/>
    <w:p>
      <w:pPr>
        <w:pStyle w:val="Heading1"/>
      </w:pPr>
      <w:r>
        <w:t xml:space="preserve">TXN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~$5.30B vs. cons $5.21B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~$2.01 vs. cons $1.92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~60.0% vs. cons 59.6%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~$5.35B vs. cons $5.30B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~$2.02 vs. cons $1.99 (2026Q3)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TXN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+1.4% (FADE)</w:t>
            </w:r>
          </w:p>
        </w:tc>
        <w:tc>
          <w:tcPr/>
          <w:p>
            <w:pPr>
              <w:pStyle w:val="Compact"/>
            </w:pPr>
            <w:r>
              <w:t xml:space="preserve">A modest Q3 revenue and EPS raise should lift near-term estimates, but limited out-period revision, cautious second-half language and the demanding valuation setup are likely to fade part of the initial beat-driven gain.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2026-07-22T00:32:48Z</dcterms:created>
  <dcterms:modified xsi:type="dcterms:W3CDTF">2026-07-22T00:32:48Z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