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71be1cc753e074ed17475690ae058050d9b354"/>
    <w:p>
      <w:pPr>
        <w:pStyle w:val="Heading1"/>
      </w:pPr>
      <w:r>
        <w:t xml:space="preserve">Texas Instruments (TXN) 2026Q2 Earnings Preview</w:t>
      </w:r>
    </w:p>
    <w:p>
      <w:pPr>
        <w:pStyle w:val="BlockText"/>
      </w:pPr>
      <w:r>
        <w:rPr>
          <w:b/>
          <w:bCs/>
        </w:rPr>
        <w:t xml:space="preserve">Timing note:</w:t>
      </w:r>
      <w:r>
        <w:t xml:space="preserve"> </w:t>
      </w:r>
      <w:r>
        <w:t xml:space="preserve">The event date provided is</w:t>
      </w:r>
      <w:r>
        <w:t xml:space="preserve"> </w:t>
      </w:r>
      <w:r>
        <w:rPr>
          <w:b/>
          <w:bCs/>
        </w:rPr>
        <w:t xml:space="preserve">Wednesday, July 22, 2026</w:t>
      </w:r>
      <w:r>
        <w:t xml:space="preserve">, which is today—not tomorrow. Texas Instruments is scheduled to report after the U.S. market close, followed by its earnings call.</w:t>
      </w:r>
    </w:p>
    <w:bookmarkStart w:id="9" w:name="investment-setup"/>
    <w:p>
      <w:pPr>
        <w:pStyle w:val="Heading2"/>
      </w:pPr>
      <w:r>
        <w:t xml:space="preserve">Investment setup</w:t>
      </w:r>
    </w:p>
    <w:p>
      <w:pPr>
        <w:pStyle w:val="FirstParagraph"/>
      </w:pPr>
      <w:r>
        <w:t xml:space="preserve">TXN enters the report with substantial momentum—and a demanding setup.</w:t>
      </w:r>
    </w:p>
    <w:p>
      <w:pPr>
        <w:pStyle w:val="BodyText"/>
      </w:pPr>
      <w:r>
        <w:t xml:space="preserve">First-quarter results showed a broadening analog recovery, led by industrial and data-center demand. Revenue exceeded the top of management’s guidance, inventory began declining, margins expanded, and free cash flow accelerated as capital spending moderated. Industry read-throughs have remained constructive: Analog Devices subsequently reported broad industrial growth, lean channel inventories, strong data-center demand and favorable pricing.</w:t>
      </w:r>
    </w:p>
    <w:p>
      <w:pPr>
        <w:pStyle w:val="BodyText"/>
      </w:pPr>
      <w:r>
        <w:t xml:space="preserve">The market has already recognized much of this improvement. At</w:t>
      </w:r>
      <w:r>
        <w:t xml:space="preserve"> </w:t>
      </w:r>
      <w:r>
        <w:rPr>
          <w:b/>
          <w:bCs/>
        </w:rPr>
        <w:t xml:space="preserve">$291.34 on July 21</w:t>
      </w:r>
      <w:r>
        <w:t xml:space="preserve">, TXN shares were approximately:</w:t>
      </w:r>
    </w:p>
    <w:p>
      <w:pPr>
        <w:pStyle w:val="Compact"/>
        <w:numPr>
          <w:ilvl w:val="0"/>
          <w:numId w:val="1001"/>
        </w:numPr>
      </w:pPr>
      <w:r>
        <w:rPr>
          <w:b/>
          <w:bCs/>
        </w:rPr>
        <w:t xml:space="preserve">68% higher year to date</w:t>
      </w:r>
    </w:p>
    <w:p>
      <w:pPr>
        <w:pStyle w:val="Compact"/>
        <w:numPr>
          <w:ilvl w:val="0"/>
          <w:numId w:val="1001"/>
        </w:numPr>
      </w:pPr>
      <w:r>
        <w:rPr>
          <w:b/>
          <w:bCs/>
        </w:rPr>
        <w:t xml:space="preserve">23% higher since the April 22 first-quarter report</w:t>
      </w:r>
    </w:p>
    <w:p>
      <w:pPr>
        <w:pStyle w:val="Compact"/>
        <w:numPr>
          <w:ilvl w:val="0"/>
          <w:numId w:val="1001"/>
        </w:numPr>
      </w:pPr>
      <w:r>
        <w:t xml:space="preserve">Near their recent highs after a major semiconductor-sector rerating</w:t>
      </w:r>
    </w:p>
    <w:p>
      <w:pPr>
        <w:pStyle w:val="FirstParagraph"/>
      </w:pPr>
      <w:r>
        <w:t xml:space="preserve">Accordingly, the stock probably needs more than a modest Q2 beat. The key debate is whether management can validate a sustained second-half upcycle rather than another temporary restocking wave.</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Q2 consensus</w:t>
            </w:r>
          </w:p>
        </w:tc>
        <w:tc>
          <w:tcPr/>
          <w:p>
            <w:pPr>
              <w:pStyle w:val="Compact"/>
              <w:jc w:val="right"/>
            </w:pPr>
            <w:r>
              <w:t xml:space="preserve">Q1 2026</w:t>
            </w:r>
          </w:p>
        </w:tc>
        <w:tc>
          <w:tcPr/>
          <w:p>
            <w:pPr>
              <w:pStyle w:val="Compact"/>
              <w:jc w:val="right"/>
            </w:pPr>
            <w:r>
              <w:t xml:space="preserve">Q2 2025</w:t>
            </w:r>
          </w:p>
        </w:tc>
        <w:tc>
          <w:tcPr/>
          <w:p>
            <w:pPr>
              <w:pStyle w:val="Compact"/>
              <w:jc w:val="right"/>
            </w:pPr>
            <w:r>
              <w:t xml:space="preserve">Company Q2 guidance</w:t>
            </w:r>
          </w:p>
        </w:tc>
      </w:tr>
      <w:tr>
        <w:tc>
          <w:tcPr/>
          <w:p>
            <w:pPr>
              <w:pStyle w:val="Compact"/>
            </w:pPr>
            <w:r>
              <w:t xml:space="preserve">Revenue</w:t>
            </w:r>
          </w:p>
        </w:tc>
        <w:tc>
          <w:tcPr/>
          <w:p>
            <w:pPr>
              <w:pStyle w:val="Compact"/>
              <w:jc w:val="right"/>
            </w:pPr>
            <w:r>
              <w:rPr>
                <w:b/>
                <w:bCs/>
              </w:rPr>
              <w:t xml:space="preserve">$5.21B</w:t>
            </w:r>
          </w:p>
        </w:tc>
        <w:tc>
          <w:tcPr/>
          <w:p>
            <w:pPr>
              <w:pStyle w:val="Compact"/>
              <w:jc w:val="right"/>
            </w:pPr>
            <w:r>
              <w:t xml:space="preserve">$4.83B</w:t>
            </w:r>
          </w:p>
        </w:tc>
        <w:tc>
          <w:tcPr/>
          <w:p>
            <w:pPr>
              <w:pStyle w:val="Compact"/>
              <w:jc w:val="right"/>
            </w:pPr>
            <w:r>
              <w:t xml:space="preserve">$4.45B</w:t>
            </w:r>
          </w:p>
        </w:tc>
        <w:tc>
          <w:tcPr/>
          <w:p>
            <w:pPr>
              <w:pStyle w:val="Compact"/>
              <w:jc w:val="right"/>
            </w:pPr>
            <m:oMath>
              <m:r>
                <m:t>5.00</m:t>
              </m:r>
              <m:r>
                <m:t>B</m:t>
              </m:r>
              <m:r>
                <m:rPr>
                  <m:sty m:val="p"/>
                </m:rPr>
                <m:t>–</m:t>
              </m:r>
            </m:oMath>
            <w:r>
              <w:t xml:space="preserve">5.40B</w:t>
            </w:r>
          </w:p>
        </w:tc>
      </w:tr>
      <w:tr>
        <w:tc>
          <w:tcPr/>
          <w:p>
            <w:pPr>
              <w:pStyle w:val="Compact"/>
            </w:pPr>
            <w:r>
              <w:t xml:space="preserve">Sequential growth</w:t>
            </w:r>
          </w:p>
        </w:tc>
        <w:tc>
          <w:tcPr/>
          <w:p>
            <w:pPr>
              <w:pStyle w:val="Compact"/>
              <w:jc w:val="right"/>
            </w:pPr>
            <w:r>
              <w:rPr>
                <w:b/>
                <w:bCs/>
              </w:rPr>
              <w:t xml:space="preserve">~8%</w:t>
            </w:r>
          </w:p>
        </w:tc>
        <w:tc>
          <w:tcPr/>
          <w:p>
            <w:pPr>
              <w:pStyle w:val="Compact"/>
              <w:jc w:val="right"/>
            </w:pPr>
            <w:r>
              <w:t xml:space="preserve">+9%</w:t>
            </w:r>
          </w:p>
        </w:tc>
        <w:tc>
          <w:tcPr/>
          <w:p>
            <w:pPr>
              <w:pStyle w:val="Compact"/>
              <w:jc w:val="right"/>
            </w:pPr>
            <w:r>
              <w:t xml:space="preserve">—</w:t>
            </w:r>
          </w:p>
        </w:tc>
        <w:tc>
          <w:tcPr/>
          <w:p>
            <w:pPr>
              <w:pStyle w:val="Compact"/>
              <w:jc w:val="right"/>
            </w:pPr>
            <w:r>
              <w:t xml:space="preserve">—</w:t>
            </w:r>
          </w:p>
        </w:tc>
      </w:tr>
      <w:tr>
        <w:tc>
          <w:tcPr/>
          <w:p>
            <w:pPr>
              <w:pStyle w:val="Compact"/>
            </w:pPr>
            <w:r>
              <w:t xml:space="preserve">Year-over-year growth</w:t>
            </w:r>
          </w:p>
        </w:tc>
        <w:tc>
          <w:tcPr/>
          <w:p>
            <w:pPr>
              <w:pStyle w:val="Compact"/>
              <w:jc w:val="right"/>
            </w:pPr>
            <w:r>
              <w:rPr>
                <w:b/>
                <w:bCs/>
              </w:rPr>
              <w:t xml:space="preserve">~17%</w:t>
            </w:r>
          </w:p>
        </w:tc>
        <w:tc>
          <w:tcPr/>
          <w:p>
            <w:pPr>
              <w:pStyle w:val="Compact"/>
              <w:jc w:val="right"/>
            </w:pPr>
            <w:r>
              <w:t xml:space="preserve">+19%</w:t>
            </w:r>
          </w:p>
        </w:tc>
        <w:tc>
          <w:tcPr/>
          <w:p>
            <w:pPr>
              <w:pStyle w:val="Compact"/>
              <w:jc w:val="right"/>
            </w:pPr>
            <w:r>
              <w:t xml:space="preserve">+16%</w:t>
            </w:r>
          </w:p>
        </w:tc>
        <w:tc>
          <w:tcPr/>
          <w:p>
            <w:pPr>
              <w:pStyle w:val="Compact"/>
              <w:jc w:val="right"/>
            </w:pPr>
            <w:r>
              <w:t xml:space="preserve">—</w:t>
            </w:r>
          </w:p>
        </w:tc>
      </w:tr>
      <w:tr>
        <w:tc>
          <w:tcPr/>
          <w:p>
            <w:pPr>
              <w:pStyle w:val="Compact"/>
            </w:pPr>
            <w:r>
              <w:t xml:space="preserve">EPS</w:t>
            </w:r>
          </w:p>
        </w:tc>
        <w:tc>
          <w:tcPr/>
          <w:p>
            <w:pPr>
              <w:pStyle w:val="Compact"/>
              <w:jc w:val="right"/>
            </w:pPr>
            <w:r>
              <w:rPr>
                <w:b/>
                <w:bCs/>
              </w:rPr>
              <w:t xml:space="preserve">$1.92</w:t>
            </w:r>
          </w:p>
        </w:tc>
        <w:tc>
          <w:tcPr/>
          <w:p>
            <w:pPr>
              <w:pStyle w:val="Compact"/>
              <w:jc w:val="right"/>
            </w:pPr>
            <w:r>
              <w:t xml:space="preserve">$1.68</w:t>
            </w:r>
          </w:p>
        </w:tc>
        <w:tc>
          <w:tcPr/>
          <w:p>
            <w:pPr>
              <w:pStyle w:val="Compact"/>
              <w:jc w:val="right"/>
            </w:pPr>
            <w:r>
              <w:t xml:space="preserve">$1.41</w:t>
            </w:r>
          </w:p>
        </w:tc>
        <w:tc>
          <w:tcPr/>
          <w:p>
            <w:pPr>
              <w:pStyle w:val="Compact"/>
              <w:jc w:val="right"/>
            </w:pPr>
            <m:oMath>
              <m:r>
                <m:t>1.77</m:t>
              </m:r>
              <m:r>
                <m:rPr>
                  <m:sty m:val="p"/>
                </m:rPr>
                <m:t>–</m:t>
              </m:r>
            </m:oMath>
            <w:r>
              <w:t xml:space="preserve">2.05</w:t>
            </w:r>
          </w:p>
        </w:tc>
      </w:tr>
      <w:tr>
        <w:tc>
          <w:tcPr/>
          <w:p>
            <w:pPr>
              <w:pStyle w:val="Compact"/>
            </w:pPr>
            <w:r>
              <w:t xml:space="preserve">Gross margin</w:t>
            </w:r>
          </w:p>
        </w:tc>
        <w:tc>
          <w:tcPr/>
          <w:p>
            <w:pPr>
              <w:pStyle w:val="Compact"/>
              <w:jc w:val="right"/>
            </w:pPr>
            <w:r>
              <w:rPr>
                <w:b/>
                <w:bCs/>
              </w:rPr>
              <w:t xml:space="preserve">~59.6%</w:t>
            </w:r>
          </w:p>
        </w:tc>
        <w:tc>
          <w:tcPr/>
          <w:p>
            <w:pPr>
              <w:pStyle w:val="Compact"/>
              <w:jc w:val="right"/>
            </w:pPr>
            <w:r>
              <w:t xml:space="preserve">58.0%</w:t>
            </w:r>
          </w:p>
        </w:tc>
        <w:tc>
          <w:tcPr/>
          <w:p>
            <w:pPr>
              <w:pStyle w:val="Compact"/>
              <w:jc w:val="right"/>
            </w:pPr>
            <w:r>
              <w:t xml:space="preserve">57.9%</w:t>
            </w:r>
          </w:p>
        </w:tc>
        <w:tc>
          <w:tcPr/>
          <w:p>
            <w:pPr>
              <w:pStyle w:val="Compact"/>
              <w:jc w:val="right"/>
            </w:pPr>
            <w:r>
              <w:t xml:space="preserve">Not explicitly guided</w:t>
            </w:r>
          </w:p>
        </w:tc>
      </w:tr>
      <w:tr>
        <w:tc>
          <w:tcPr/>
          <w:p>
            <w:pPr>
              <w:pStyle w:val="Compact"/>
            </w:pPr>
            <w:r>
              <w:t xml:space="preserve">Free cash flow</w:t>
            </w:r>
          </w:p>
        </w:tc>
        <w:tc>
          <w:tcPr/>
          <w:p>
            <w:pPr>
              <w:pStyle w:val="Compact"/>
              <w:jc w:val="right"/>
            </w:pPr>
            <w:r>
              <w:rPr>
                <w:b/>
                <w:bCs/>
              </w:rPr>
              <w:t xml:space="preserve">~$1.77B</w:t>
            </w:r>
          </w:p>
        </w:tc>
        <w:tc>
          <w:tcPr/>
          <w:p>
            <w:pPr>
              <w:pStyle w:val="Compact"/>
              <w:jc w:val="right"/>
            </w:pPr>
            <w:r>
              <w:t xml:space="preserve">$1.40B</w:t>
            </w:r>
          </w:p>
        </w:tc>
        <w:tc>
          <w:tcPr/>
          <w:p>
            <w:pPr>
              <w:pStyle w:val="Compact"/>
              <w:jc w:val="right"/>
            </w:pPr>
            <w:r>
              <w:t xml:space="preserve">$555M</w:t>
            </w:r>
          </w:p>
        </w:tc>
        <w:tc>
          <w:tcPr/>
          <w:p>
            <w:pPr>
              <w:pStyle w:val="Compact"/>
              <w:jc w:val="right"/>
            </w:pPr>
            <w:r>
              <w:t xml:space="preserve">Not explicitly guided</w:t>
            </w:r>
          </w:p>
        </w:tc>
      </w:tr>
    </w:tbl>
    <w:p>
      <w:pPr>
        <w:pStyle w:val="BodyText"/>
      </w:pPr>
      <w:r>
        <w:t xml:space="preserve">Consensus sits almost exactly at the midpoint of management’s revenue and EPS ranges. That makes the</w:t>
      </w:r>
      <w:r>
        <w:t xml:space="preserve"> </w:t>
      </w:r>
      <w:r>
        <w:rPr>
          <w:b/>
          <w:bCs/>
        </w:rPr>
        <w:t xml:space="preserve">forward outlook</w:t>
      </w:r>
      <w:r>
        <w:t xml:space="preserve">, particularly Q3 revenue and commentary on the second half, more important than small differences versus Q2 estimates.</w:t>
      </w:r>
    </w:p>
    <w:p>
      <w:r>
        <w:pict>
          <v:rect style="width:0;height:1.5pt" o:hralign="center" o:hrstd="t" o:hr="t"/>
        </w:pict>
      </w:r>
    </w:p>
    <w:bookmarkEnd w:id="10"/>
    <w:bookmarkStart w:id="13" w:name="X53b62f5d85ba9c3e0f45ef50e6b93ba4ac5f45b"/>
    <w:p>
      <w:pPr>
        <w:pStyle w:val="Heading2"/>
      </w:pPr>
      <w:r>
        <w:t xml:space="preserve">The central question: Is industrial demand sustainable?</w:t>
      </w:r>
    </w:p>
    <w:p>
      <w:pPr>
        <w:pStyle w:val="FirstParagraph"/>
      </w:pPr>
      <w:r>
        <w:t xml:space="preserve">Industrial revenue increased more than 30% year over year and more than 20% sequentially in Q1. Management described the strength as unusually broad:</w:t>
      </w:r>
    </w:p>
    <w:p>
      <w:pPr>
        <w:pStyle w:val="Compact"/>
        <w:numPr>
          <w:ilvl w:val="0"/>
          <w:numId w:val="1002"/>
        </w:numPr>
      </w:pPr>
      <w:r>
        <w:t xml:space="preserve">All industrial sectors grew sequentially.</w:t>
      </w:r>
    </w:p>
    <w:p>
      <w:pPr>
        <w:pStyle w:val="Compact"/>
        <w:numPr>
          <w:ilvl w:val="0"/>
          <w:numId w:val="1002"/>
        </w:numPr>
      </w:pPr>
      <w:r>
        <w:t xml:space="preserve">All major geographies participated.</w:t>
      </w:r>
    </w:p>
    <w:p>
      <w:pPr>
        <w:pStyle w:val="Compact"/>
        <w:numPr>
          <w:ilvl w:val="0"/>
          <w:numId w:val="1002"/>
        </w:numPr>
      </w:pPr>
      <w:r>
        <w:t xml:space="preserve">Growth extended beyond large accounts into the broad-market customer base.</w:t>
      </w:r>
    </w:p>
    <w:p>
      <w:pPr>
        <w:pStyle w:val="Compact"/>
        <w:numPr>
          <w:ilvl w:val="0"/>
          <w:numId w:val="1002"/>
        </w:numPr>
      </w:pPr>
      <w:r>
        <w:t xml:space="preserve">Industrial revenue nevertheless remained approximately 15% below its 2022 peak.</w:t>
      </w:r>
    </w:p>
    <w:p>
      <w:pPr>
        <w:pStyle w:val="FirstParagraph"/>
      </w:pPr>
      <w:r>
        <w:t xml:space="preserve">This provides a credible runway for further recovery. It also creates the report’s largest risk: last year began with apparent strength before demand lost momentum in the second half.</w:t>
      </w:r>
    </w:p>
    <w:p>
      <w:pPr>
        <w:pStyle w:val="BodyText"/>
      </w:pPr>
      <w:r>
        <w:t xml:space="preserve">Investors should listen for evidence that current orders represent</w:t>
      </w:r>
      <w:r>
        <w:t xml:space="preserve"> </w:t>
      </w:r>
      <w:r>
        <w:rPr>
          <w:b/>
          <w:bCs/>
        </w:rPr>
        <w:t xml:space="preserve">end-demand consumption</w:t>
      </w:r>
      <w:r>
        <w:t xml:space="preserve">, rather than customers rebuilding safety stock or pulling orders forward because of pricing and supply concerns.</w:t>
      </w:r>
    </w:p>
    <w:bookmarkStart w:id="11" w:name="constructive-indicators"/>
    <w:p>
      <w:pPr>
        <w:pStyle w:val="Heading3"/>
      </w:pPr>
      <w:r>
        <w:t xml:space="preserve">Constructive indicators</w:t>
      </w:r>
    </w:p>
    <w:p>
      <w:pPr>
        <w:pStyle w:val="Compact"/>
        <w:numPr>
          <w:ilvl w:val="0"/>
          <w:numId w:val="1003"/>
        </w:numPr>
      </w:pPr>
      <w:r>
        <w:t xml:space="preserve">Continued sequential industrial growth entering Q3</w:t>
      </w:r>
    </w:p>
    <w:p>
      <w:pPr>
        <w:pStyle w:val="Compact"/>
        <w:numPr>
          <w:ilvl w:val="0"/>
          <w:numId w:val="1003"/>
        </w:numPr>
      </w:pPr>
      <w:r>
        <w:t xml:space="preserve">Positive bookings and book-to-bill commentary</w:t>
      </w:r>
    </w:p>
    <w:p>
      <w:pPr>
        <w:pStyle w:val="Compact"/>
        <w:numPr>
          <w:ilvl w:val="0"/>
          <w:numId w:val="1003"/>
        </w:numPr>
      </w:pPr>
      <w:r>
        <w:t xml:space="preserve">Strength across factory automation, energy infrastructure and the broad market</w:t>
      </w:r>
    </w:p>
    <w:p>
      <w:pPr>
        <w:pStyle w:val="Compact"/>
        <w:numPr>
          <w:ilvl w:val="0"/>
          <w:numId w:val="1003"/>
        </w:numPr>
      </w:pPr>
      <w:r>
        <w:t xml:space="preserve">Stable lead times despite higher demand</w:t>
      </w:r>
    </w:p>
    <w:p>
      <w:pPr>
        <w:pStyle w:val="Compact"/>
        <w:numPr>
          <w:ilvl w:val="0"/>
          <w:numId w:val="1003"/>
        </w:numPr>
      </w:pPr>
      <w:r>
        <w:t xml:space="preserve">Further inventory depletion at TXN and its customers</w:t>
      </w:r>
    </w:p>
    <w:p>
      <w:pPr>
        <w:pStyle w:val="Compact"/>
        <w:numPr>
          <w:ilvl w:val="0"/>
          <w:numId w:val="1003"/>
        </w:numPr>
      </w:pPr>
      <w:r>
        <w:t xml:space="preserve">Management becoming more confident about second-half sustainability</w:t>
      </w:r>
    </w:p>
    <w:bookmarkEnd w:id="11"/>
    <w:bookmarkStart w:id="12" w:name="warning-indicators"/>
    <w:p>
      <w:pPr>
        <w:pStyle w:val="Heading3"/>
      </w:pPr>
      <w:r>
        <w:t xml:space="preserve">Warning indicators</w:t>
      </w:r>
    </w:p>
    <w:p>
      <w:pPr>
        <w:pStyle w:val="Compact"/>
        <w:numPr>
          <w:ilvl w:val="0"/>
          <w:numId w:val="1004"/>
        </w:numPr>
      </w:pPr>
      <w:r>
        <w:t xml:space="preserve">Growth concentrated in a few industrial verticals</w:t>
      </w:r>
    </w:p>
    <w:p>
      <w:pPr>
        <w:pStyle w:val="Compact"/>
        <w:numPr>
          <w:ilvl w:val="0"/>
          <w:numId w:val="1004"/>
        </w:numPr>
      </w:pPr>
      <w:r>
        <w:t xml:space="preserve">Slower bookings late in Q2</w:t>
      </w:r>
    </w:p>
    <w:p>
      <w:pPr>
        <w:pStyle w:val="Compact"/>
        <w:numPr>
          <w:ilvl w:val="0"/>
          <w:numId w:val="1004"/>
        </w:numPr>
      </w:pPr>
      <w:r>
        <w:t xml:space="preserve">Customers extending visibility but not firm orders</w:t>
      </w:r>
    </w:p>
    <w:p>
      <w:pPr>
        <w:pStyle w:val="Compact"/>
        <w:numPr>
          <w:ilvl w:val="0"/>
          <w:numId w:val="1004"/>
        </w:numPr>
      </w:pPr>
      <w:r>
        <w:t xml:space="preserve">Management again emphasizing macro uncertainty without giving positive demand evidence</w:t>
      </w:r>
    </w:p>
    <w:p>
      <w:pPr>
        <w:pStyle w:val="Compact"/>
        <w:numPr>
          <w:ilvl w:val="0"/>
          <w:numId w:val="1004"/>
        </w:numPr>
      </w:pPr>
      <w:r>
        <w:t xml:space="preserve">A Q3 outlook below normal seasonal patterns</w:t>
      </w:r>
    </w:p>
    <w:p>
      <w:r>
        <w:pict>
          <v:rect style="width:0;height:1.5pt" o:hralign="center" o:hrstd="t" o:hr="t"/>
        </w:pict>
      </w:r>
    </w:p>
    <w:bookmarkEnd w:id="12"/>
    <w:bookmarkEnd w:id="13"/>
    <w:bookmarkStart w:id="14" w:name="X5ef4a215ae9b8896007555aaf920e3c3079fb05"/>
    <w:p>
      <w:pPr>
        <w:pStyle w:val="Heading2"/>
      </w:pPr>
      <w:r>
        <w:t xml:space="preserve">Data center is becoming a material growth engine</w:t>
      </w:r>
    </w:p>
    <w:p>
      <w:pPr>
        <w:pStyle w:val="FirstParagraph"/>
      </w:pPr>
      <w:r>
        <w:t xml:space="preserve">Data-center revenue grew roughly</w:t>
      </w:r>
      <w:r>
        <w:t xml:space="preserve"> </w:t>
      </w:r>
      <w:r>
        <w:rPr>
          <w:b/>
          <w:bCs/>
        </w:rPr>
        <w:t xml:space="preserve">90% year over year</w:t>
      </w:r>
      <w:r>
        <w:t xml:space="preserve"> </w:t>
      </w:r>
      <w:r>
        <w:t xml:space="preserve">and more than</w:t>
      </w:r>
      <w:r>
        <w:t xml:space="preserve"> </w:t>
      </w:r>
      <w:r>
        <w:rPr>
          <w:b/>
          <w:bCs/>
        </w:rPr>
        <w:t xml:space="preserve">25% sequentially</w:t>
      </w:r>
      <w:r>
        <w:t xml:space="preserve"> </w:t>
      </w:r>
      <w:r>
        <w:t xml:space="preserve">in Q1. The business represented about 9% of 2025 revenue and was already running at roughly $450 million quarterly exiting 2025.</w:t>
      </w:r>
    </w:p>
    <w:p>
      <w:pPr>
        <w:pStyle w:val="BodyText"/>
      </w:pPr>
      <w:r>
        <w:t xml:space="preserve">TXN’s opportunity extends beyond a handful of high-value power components. Its products appear throughout a data-center rack, including:</w:t>
      </w:r>
    </w:p>
    <w:p>
      <w:pPr>
        <w:pStyle w:val="Compact"/>
        <w:numPr>
          <w:ilvl w:val="0"/>
          <w:numId w:val="1005"/>
        </w:numPr>
      </w:pPr>
      <w:r>
        <w:t xml:space="preserve">Voltage regulators and multiphase controllers</w:t>
      </w:r>
    </w:p>
    <w:p>
      <w:pPr>
        <w:pStyle w:val="Compact"/>
        <w:numPr>
          <w:ilvl w:val="0"/>
          <w:numId w:val="1005"/>
        </w:numPr>
      </w:pPr>
      <w:r>
        <w:t xml:space="preserve">Power stages and hot-swap controllers</w:t>
      </w:r>
    </w:p>
    <w:p>
      <w:pPr>
        <w:pStyle w:val="Compact"/>
        <w:numPr>
          <w:ilvl w:val="0"/>
          <w:numId w:val="1005"/>
        </w:numPr>
      </w:pPr>
      <w:r>
        <w:t xml:space="preserve">Current sensors</w:t>
      </w:r>
    </w:p>
    <w:p>
      <w:pPr>
        <w:pStyle w:val="Compact"/>
        <w:numPr>
          <w:ilvl w:val="0"/>
          <w:numId w:val="1005"/>
        </w:numPr>
      </w:pPr>
      <w:r>
        <w:t xml:space="preserve">Interface and timing products</w:t>
      </w:r>
    </w:p>
    <w:p>
      <w:pPr>
        <w:pStyle w:val="Compact"/>
        <w:numPr>
          <w:ilvl w:val="0"/>
          <w:numId w:val="1005"/>
        </w:numPr>
      </w:pPr>
      <w:r>
        <w:t xml:space="preserve">High-voltage power conversion</w:t>
      </w:r>
    </w:p>
    <w:p>
      <w:pPr>
        <w:pStyle w:val="Compact"/>
        <w:numPr>
          <w:ilvl w:val="0"/>
          <w:numId w:val="1005"/>
        </w:numPr>
      </w:pPr>
      <w:r>
        <w:t xml:space="preserve">GaN products for future 800-volt architectures</w:t>
      </w:r>
    </w:p>
    <w:p>
      <w:pPr>
        <w:pStyle w:val="FirstParagraph"/>
      </w:pPr>
      <w:r>
        <w:t xml:space="preserve">Management said application-specific data-center design wins should contribute more in the second half of 2026 and into 2027. That statement raises the bar for this call.</w:t>
      </w:r>
    </w:p>
    <w:p>
      <w:pPr>
        <w:pStyle w:val="BodyText"/>
      </w:pPr>
      <w:r>
        <w:rPr>
          <w:b/>
          <w:bCs/>
        </w:rPr>
        <w:t xml:space="preserve">What matters:</w:t>
      </w:r>
      <w:r>
        <w:t xml:space="preserve"> </w:t>
      </w:r>
      <w:r>
        <w:t xml:space="preserve">whether data-center growth remains near current levels, whether application-specific products are entering production on schedule, and whether TXN is winning business because of its portfolio and domestic manufacturing capacity—not merely benefiting from sector-wide demand.</w:t>
      </w:r>
    </w:p>
    <w:p>
      <w:pPr>
        <w:pStyle w:val="BodyText"/>
      </w:pPr>
      <w:r>
        <w:t xml:space="preserve">A deceleration would not necessarily undermine the long-term thesis given the difficult comparison, but the market will want evidence that growth is moving from general-purpose supply wins toward durable design wins.</w:t>
      </w:r>
    </w:p>
    <w:p>
      <w:r>
        <w:pict>
          <v:rect style="width:0;height:1.5pt" o:hralign="center" o:hrstd="t" o:hr="t"/>
        </w:pict>
      </w:r>
    </w:p>
    <w:bookmarkEnd w:id="14"/>
    <w:bookmarkStart w:id="15" w:name="automotive-stable-but-watch-china"/>
    <w:p>
      <w:pPr>
        <w:pStyle w:val="Heading2"/>
      </w:pPr>
      <w:r>
        <w:t xml:space="preserve">Automotive: stable, but watch China</w:t>
      </w:r>
    </w:p>
    <w:p>
      <w:pPr>
        <w:pStyle w:val="FirstParagraph"/>
      </w:pPr>
      <w:r>
        <w:t xml:space="preserve">Automotive revenue increased by a mid-single-digit percentage year over year and was approximately flat sequentially in Q1. Management characterized the business as holding close to prior peak levels, supported by rising semiconductor content across electric, hybrid and internal-combustion vehicles.</w:t>
      </w:r>
    </w:p>
    <w:p>
      <w:pPr>
        <w:pStyle w:val="BodyText"/>
      </w:pPr>
      <w:r>
        <w:t xml:space="preserve">The regional picture was less uniform:</w:t>
      </w:r>
    </w:p>
    <w:p>
      <w:pPr>
        <w:pStyle w:val="Compact"/>
        <w:numPr>
          <w:ilvl w:val="0"/>
          <w:numId w:val="1006"/>
        </w:numPr>
      </w:pPr>
      <w:r>
        <w:t xml:space="preserve">China declined sequentially in Q1.</w:t>
      </w:r>
    </w:p>
    <w:p>
      <w:pPr>
        <w:pStyle w:val="Compact"/>
        <w:numPr>
          <w:ilvl w:val="0"/>
          <w:numId w:val="1006"/>
        </w:numPr>
      </w:pPr>
      <w:r>
        <w:t xml:space="preserve">Other regions grew.</w:t>
      </w:r>
    </w:p>
    <w:p>
      <w:pPr>
        <w:pStyle w:val="Compact"/>
        <w:numPr>
          <w:ilvl w:val="0"/>
          <w:numId w:val="1006"/>
        </w:numPr>
      </w:pPr>
      <w:r>
        <w:t xml:space="preserve">Management declined to call a clear near-term inflection.</w:t>
      </w:r>
    </w:p>
    <w:p>
      <w:pPr>
        <w:pStyle w:val="FirstParagraph"/>
      </w:pPr>
      <w:r>
        <w:t xml:space="preserve">Automotive did not experience as severe an inventory correction as industrial, meaning it has less cyclical recovery potential. The upside case rests more on content growth and share gains.</w:t>
      </w:r>
    </w:p>
    <w:p>
      <w:pPr>
        <w:pStyle w:val="BodyText"/>
      </w:pPr>
      <w:r>
        <w:t xml:space="preserve">Investors should focus on whether China stabilized during Q2 and whether weakness is emerging from vehicle-production conditions, memory constraints or customer inventory adjustments.</w:t>
      </w:r>
    </w:p>
    <w:p>
      <w:r>
        <w:pict>
          <v:rect style="width:0;height:1.5pt" o:hralign="center" o:hrstd="t" o:hr="t"/>
        </w:pict>
      </w:r>
    </w:p>
    <w:bookmarkEnd w:id="15"/>
    <w:bookmarkStart w:id="16" w:name="X4348f97315d25e8498876981f16d8946f5a33bd"/>
    <w:p>
      <w:pPr>
        <w:pStyle w:val="Heading2"/>
      </w:pPr>
      <w:r>
        <w:t xml:space="preserve">Pricing could be the largest incremental surprise</w:t>
      </w:r>
    </w:p>
    <w:p>
      <w:pPr>
        <w:pStyle w:val="FirstParagraph"/>
      </w:pPr>
      <w:r>
        <w:t xml:space="preserve">Pricing was approximately flat both sequentially and year over year in Q1, better than TXN’s usual low-single-digit annual decline. Management expected similar pricing in Q2 but indicated that industry price increases could lead to higher TXN pricing during the second half.</w:t>
      </w:r>
    </w:p>
    <w:p>
      <w:pPr>
        <w:pStyle w:val="BodyText"/>
      </w:pPr>
      <w:r>
        <w:t xml:space="preserve">This report should provide the first meaningful update on those customer discussions.</w:t>
      </w:r>
    </w:p>
    <w:p>
      <w:pPr>
        <w:pStyle w:val="BodyText"/>
      </w:pPr>
      <w:r>
        <w:t xml:space="preserve">A confirmed second-half price increase would be important because it could:</w:t>
      </w:r>
    </w:p>
    <w:p>
      <w:pPr>
        <w:pStyle w:val="Compact"/>
        <w:numPr>
          <w:ilvl w:val="0"/>
          <w:numId w:val="1007"/>
        </w:numPr>
      </w:pPr>
      <w:r>
        <w:t xml:space="preserve">Support revenue growth independent of shipment volume.</w:t>
      </w:r>
    </w:p>
    <w:p>
      <w:pPr>
        <w:pStyle w:val="Compact"/>
        <w:numPr>
          <w:ilvl w:val="0"/>
          <w:numId w:val="1007"/>
        </w:numPr>
      </w:pPr>
      <w:r>
        <w:t xml:space="preserve">Offset inflation and tighter outsourced assembly-and-test costs.</w:t>
      </w:r>
    </w:p>
    <w:p>
      <w:pPr>
        <w:pStyle w:val="Compact"/>
        <w:numPr>
          <w:ilvl w:val="0"/>
          <w:numId w:val="1007"/>
        </w:numPr>
      </w:pPr>
      <w:r>
        <w:t xml:space="preserve">Improve incremental margins.</w:t>
      </w:r>
    </w:p>
    <w:p>
      <w:pPr>
        <w:pStyle w:val="Compact"/>
        <w:numPr>
          <w:ilvl w:val="0"/>
          <w:numId w:val="1007"/>
        </w:numPr>
      </w:pPr>
      <w:r>
        <w:t xml:space="preserve">Signal healthy industry supply-demand conditions.</w:t>
      </w:r>
    </w:p>
    <w:p>
      <w:pPr>
        <w:pStyle w:val="FirstParagraph"/>
      </w:pPr>
      <w:r>
        <w:t xml:space="preserve">The most bullish outcome would be higher pricing alongside stable lead times and strong volume. Conversely, delayed pricing actions could suggest that demand is less firm—or competitive behavior more aggressive—than the recent stock move implies.</w:t>
      </w:r>
    </w:p>
    <w:p>
      <w:r>
        <w:pict>
          <v:rect style="width:0;height:1.5pt" o:hralign="center" o:hrstd="t" o:hr="t"/>
        </w:pict>
      </w:r>
    </w:p>
    <w:bookmarkEnd w:id="16"/>
    <w:bookmarkStart w:id="17" w:name="Xea7d7a77deac62502d428fad7c40725b1b72cf2"/>
    <w:p>
      <w:pPr>
        <w:pStyle w:val="Heading2"/>
      </w:pPr>
      <w:r>
        <w:t xml:space="preserve">Margins: operating leverage versus depreciation</w:t>
      </w:r>
    </w:p>
    <w:p>
      <w:pPr>
        <w:pStyle w:val="FirstParagraph"/>
      </w:pPr>
      <w:r>
        <w:t xml:space="preserve">Consensus gross margin of approximately</w:t>
      </w:r>
      <w:r>
        <w:t xml:space="preserve"> </w:t>
      </w:r>
      <w:r>
        <w:rPr>
          <w:b/>
          <w:bCs/>
        </w:rPr>
        <w:t xml:space="preserve">59.6%</w:t>
      </w:r>
      <w:r>
        <w:t xml:space="preserve"> </w:t>
      </w:r>
      <w:r>
        <w:t xml:space="preserve">implies roughly:</w:t>
      </w:r>
    </w:p>
    <w:p>
      <w:pPr>
        <w:pStyle w:val="Compact"/>
        <w:numPr>
          <w:ilvl w:val="0"/>
          <w:numId w:val="1008"/>
        </w:numPr>
      </w:pPr>
      <w:r>
        <w:t xml:space="preserve">160 basis points of sequential expansion from Q1</w:t>
      </w:r>
    </w:p>
    <w:p>
      <w:pPr>
        <w:pStyle w:val="Compact"/>
        <w:numPr>
          <w:ilvl w:val="0"/>
          <w:numId w:val="1008"/>
        </w:numPr>
      </w:pPr>
      <w:r>
        <w:t xml:space="preserve">170 basis points of year-over-year expansion</w:t>
      </w:r>
    </w:p>
    <w:p>
      <w:pPr>
        <w:pStyle w:val="Compact"/>
        <w:numPr>
          <w:ilvl w:val="0"/>
          <w:numId w:val="1008"/>
        </w:numPr>
      </w:pPr>
      <w:r>
        <w:t xml:space="preserve">Continued benefit from higher revenue and factory utilization</w:t>
      </w:r>
    </w:p>
    <w:p>
      <w:pPr>
        <w:pStyle w:val="FirstParagraph"/>
      </w:pPr>
      <w:r>
        <w:t xml:space="preserve">TXN has said revenue changes should carry a long-term gross-profit fall-through of approximately</w:t>
      </w:r>
      <w:r>
        <w:t xml:space="preserve"> </w:t>
      </w:r>
      <w:r>
        <w:rPr>
          <w:b/>
          <w:bCs/>
        </w:rPr>
        <w:t xml:space="preserve">75%–85% before depreciation</w:t>
      </w:r>
      <w:r>
        <w:t xml:space="preserve">. The offsets include:</w:t>
      </w:r>
    </w:p>
    <w:p>
      <w:pPr>
        <w:pStyle w:val="Compact"/>
        <w:numPr>
          <w:ilvl w:val="0"/>
          <w:numId w:val="1009"/>
        </w:numPr>
      </w:pPr>
      <w:r>
        <w:t xml:space="preserve">Higher depreciation from recent fab investments</w:t>
      </w:r>
    </w:p>
    <w:p>
      <w:pPr>
        <w:pStyle w:val="Compact"/>
        <w:numPr>
          <w:ilvl w:val="0"/>
          <w:numId w:val="1009"/>
        </w:numPr>
      </w:pPr>
      <w:r>
        <w:t xml:space="preserve">Elevated manufacturing costs associated with capacity expansion</w:t>
      </w:r>
    </w:p>
    <w:p>
      <w:pPr>
        <w:pStyle w:val="Compact"/>
        <w:numPr>
          <w:ilvl w:val="0"/>
          <w:numId w:val="1009"/>
        </w:numPr>
      </w:pPr>
      <w:r>
        <w:t xml:space="preserve">Potential assembly-and-test spending</w:t>
      </w:r>
    </w:p>
    <w:p>
      <w:pPr>
        <w:pStyle w:val="Compact"/>
        <w:numPr>
          <w:ilvl w:val="0"/>
          <w:numId w:val="1009"/>
        </w:numPr>
      </w:pPr>
      <w:r>
        <w:t xml:space="preserve">Transaction costs related to Silicon Labs</w:t>
      </w:r>
    </w:p>
    <w:p>
      <w:pPr>
        <w:pStyle w:val="FirstParagraph"/>
      </w:pPr>
      <w:r>
        <w:t xml:space="preserve">Full-year depreciation is still expected to be</w:t>
      </w:r>
      <w:r>
        <w:t xml:space="preserve"> </w:t>
      </w:r>
      <m:oMath>
        <m:r>
          <m:t>2.2</m:t>
        </m:r>
        <m:r>
          <m:t>B</m:t>
        </m:r>
        <m:r>
          <m:rPr>
            <m:sty m:val="p"/>
          </m:rPr>
          <m:t>–</m:t>
        </m:r>
      </m:oMath>
      <w:r>
        <w:rPr>
          <w:b/>
          <w:bCs/>
        </w:rPr>
        <w:t xml:space="preserve">2.4B</w:t>
      </w:r>
      <w:r>
        <w:t xml:space="preserve">, compared with approximately $1.9B in 2025. Investors should therefore avoid assuming that every revenue beat translates into unusually high gross-margin upside.</w:t>
      </w:r>
    </w:p>
    <w:p>
      <w:pPr>
        <w:pStyle w:val="BodyText"/>
      </w:pPr>
      <w:r>
        <w:t xml:space="preserve">A gross margin above 60%, especially if accompanied by a solid Q3 outlook, would reinforce the operating-leverage thesis. A miss caused by weaker utilization or adverse mix would be more concerning than a miss tied solely to depreciation or acquisition expenses.</w:t>
      </w:r>
    </w:p>
    <w:p>
      <w:r>
        <w:pict>
          <v:rect style="width:0;height:1.5pt" o:hralign="center" o:hrstd="t" o:hr="t"/>
        </w:pict>
      </w:r>
    </w:p>
    <w:bookmarkEnd w:id="17"/>
    <w:bookmarkStart w:id="18" w:name="inventory-and-manufacturing-strategy"/>
    <w:p>
      <w:pPr>
        <w:pStyle w:val="Heading2"/>
      </w:pPr>
      <w:r>
        <w:t xml:space="preserve">Inventory and manufacturing strategy</w:t>
      </w:r>
    </w:p>
    <w:p>
      <w:pPr>
        <w:pStyle w:val="FirstParagraph"/>
      </w:pPr>
      <w:r>
        <w:t xml:space="preserve">TXN ended Q1 with:</w:t>
      </w:r>
    </w:p>
    <w:p>
      <w:pPr>
        <w:pStyle w:val="Compact"/>
        <w:numPr>
          <w:ilvl w:val="0"/>
          <w:numId w:val="1010"/>
        </w:numPr>
      </w:pPr>
      <w:r>
        <w:rPr>
          <w:b/>
          <w:bCs/>
        </w:rPr>
        <w:t xml:space="preserve">$4.70B of inventory</w:t>
      </w:r>
    </w:p>
    <w:p>
      <w:pPr>
        <w:pStyle w:val="Compact"/>
        <w:numPr>
          <w:ilvl w:val="0"/>
          <w:numId w:val="1010"/>
        </w:numPr>
      </w:pPr>
      <w:r>
        <w:rPr>
          <w:b/>
          <w:bCs/>
        </w:rPr>
        <w:t xml:space="preserve">209 inventory days</w:t>
      </w:r>
      <w:r>
        <w:t xml:space="preserve">, down from 222 at year-end</w:t>
      </w:r>
    </w:p>
    <w:p>
      <w:pPr>
        <w:pStyle w:val="Compact"/>
        <w:numPr>
          <w:ilvl w:val="0"/>
          <w:numId w:val="1010"/>
        </w:numPr>
      </w:pPr>
      <w:r>
        <w:t xml:space="preserve">$5.1B of cash and short-term investments</w:t>
      </w:r>
    </w:p>
    <w:p>
      <w:pPr>
        <w:pStyle w:val="Compact"/>
        <w:numPr>
          <w:ilvl w:val="0"/>
          <w:numId w:val="1010"/>
        </w:numPr>
      </w:pPr>
      <w:r>
        <w:t xml:space="preserve">$14.0B of debt</w:t>
      </w:r>
    </w:p>
    <w:p>
      <w:pPr>
        <w:pStyle w:val="FirstParagraph"/>
      </w:pPr>
      <w:r>
        <w:t xml:space="preserve">Management expects inventory days to trend toward the lower end of its</w:t>
      </w:r>
      <w:r>
        <w:t xml:space="preserve"> </w:t>
      </w:r>
      <w:r>
        <w:rPr>
          <w:b/>
          <w:bCs/>
        </w:rPr>
        <w:t xml:space="preserve">150–250 day</w:t>
      </w:r>
      <w:r>
        <w:t xml:space="preserve"> </w:t>
      </w:r>
      <w:r>
        <w:t xml:space="preserve">target range during an upcycle. Inventory provides immediate supply while newly started wafers may require three to nine months to complete.</w:t>
      </w:r>
    </w:p>
    <w:p>
      <w:pPr>
        <w:pStyle w:val="BodyText"/>
      </w:pPr>
      <w:r>
        <w:t xml:space="preserve">The ideal Q2 combination would be:</w:t>
      </w:r>
    </w:p>
    <w:p>
      <w:pPr>
        <w:pStyle w:val="Compact"/>
        <w:numPr>
          <w:ilvl w:val="0"/>
          <w:numId w:val="1011"/>
        </w:numPr>
      </w:pPr>
      <w:r>
        <w:t xml:space="preserve">Inventory dollars stable or modestly lower</w:t>
      </w:r>
    </w:p>
    <w:p>
      <w:pPr>
        <w:pStyle w:val="Compact"/>
        <w:numPr>
          <w:ilvl w:val="0"/>
          <w:numId w:val="1011"/>
        </w:numPr>
      </w:pPr>
      <w:r>
        <w:t xml:space="preserve">Inventory days continuing to decline</w:t>
      </w:r>
    </w:p>
    <w:p>
      <w:pPr>
        <w:pStyle w:val="Compact"/>
        <w:numPr>
          <w:ilvl w:val="0"/>
          <w:numId w:val="1011"/>
        </w:numPr>
      </w:pPr>
      <w:r>
        <w:t xml:space="preserve">Higher factory loadings to replenish consumed stock</w:t>
      </w:r>
    </w:p>
    <w:p>
      <w:pPr>
        <w:pStyle w:val="Compact"/>
        <w:numPr>
          <w:ilvl w:val="0"/>
          <w:numId w:val="1011"/>
        </w:numPr>
      </w:pPr>
      <w:r>
        <w:t xml:space="preserve">No material lead-time extensions</w:t>
      </w:r>
    </w:p>
    <w:p>
      <w:pPr>
        <w:pStyle w:val="Compact"/>
        <w:numPr>
          <w:ilvl w:val="0"/>
          <w:numId w:val="1011"/>
        </w:numPr>
      </w:pPr>
      <w:r>
        <w:t xml:space="preserve">Continued ability to capture share from supply-constrained competitors</w:t>
      </w:r>
    </w:p>
    <w:p>
      <w:pPr>
        <w:pStyle w:val="FirstParagraph"/>
      </w:pPr>
      <w:r>
        <w:t xml:space="preserve">A sharp inventory build despite strong reported sales would deserve scrutiny. Conversely, excessive depletion without increased wafer starts could create future supply constraints.</w:t>
      </w:r>
    </w:p>
    <w:p>
      <w:pPr>
        <w:pStyle w:val="BodyText"/>
      </w:pPr>
      <w:r>
        <w:t xml:space="preserve">TXN continues to expect</w:t>
      </w:r>
      <w:r>
        <w:t xml:space="preserve"> </w:t>
      </w:r>
      <m:oMath>
        <m:r>
          <m:t>2</m:t>
        </m:r>
        <m:r>
          <m:t>B</m:t>
        </m:r>
        <m:r>
          <m:rPr>
            <m:sty m:val="p"/>
          </m:rPr>
          <m:t>–</m:t>
        </m:r>
      </m:oMath>
      <w:r>
        <w:rPr>
          <w:b/>
          <w:bCs/>
        </w:rPr>
        <w:t xml:space="preserve">3B of 2026 capital expenditures</w:t>
      </w:r>
      <w:r>
        <w:t xml:space="preserve">, down considerably from the recent elevated investment cycle. Some spending may move toward internal assembly and test, where management has identified tighter external capacity.</w:t>
      </w:r>
    </w:p>
    <w:p>
      <w:r>
        <w:pict>
          <v:rect style="width:0;height:1.5pt" o:hralign="center" o:hrstd="t" o:hr="t"/>
        </w:pict>
      </w:r>
    </w:p>
    <w:bookmarkEnd w:id="18"/>
    <w:bookmarkStart w:id="19" w:name="free-cash-flow-is-the-strategic-payoff"/>
    <w:p>
      <w:pPr>
        <w:pStyle w:val="Heading2"/>
      </w:pPr>
      <w:r>
        <w:t xml:space="preserve">Free cash flow is the strategic payoff</w:t>
      </w:r>
    </w:p>
    <w:p>
      <w:pPr>
        <w:pStyle w:val="FirstParagraph"/>
      </w:pPr>
      <w:r>
        <w:t xml:space="preserve">TXN’s investment case is increasingly shifting from heavy construction spending to harvesting the resulting capacity.</w:t>
      </w:r>
    </w:p>
    <w:p>
      <w:pPr>
        <w:pStyle w:val="BodyText"/>
      </w:pPr>
      <w:r>
        <w:t xml:space="preserve">Trailing-12-month free cash flow reached</w:t>
      </w:r>
      <w:r>
        <w:t xml:space="preserve"> </w:t>
      </w:r>
      <w:r>
        <w:rPr>
          <w:b/>
          <w:bCs/>
        </w:rPr>
        <w:t xml:space="preserve">$4.35B</w:t>
      </w:r>
      <w:r>
        <w:t xml:space="preserve"> </w:t>
      </w:r>
      <w:r>
        <w:t xml:space="preserve">in Q1, up from</w:t>
      </w:r>
      <w:r>
        <w:t xml:space="preserve"> </w:t>
      </w:r>
      <m:oMath>
        <m:r>
          <m:t>1.72</m:t>
        </m:r>
        <m:r>
          <m:t>B</m:t>
        </m:r>
        <m:r>
          <m:t>a</m:t>
        </m:r>
        <m:r>
          <m:t>y</m:t>
        </m:r>
        <m:r>
          <m:t>e</m:t>
        </m:r>
        <m:r>
          <m:t>a</m:t>
        </m:r>
        <m:r>
          <m:t>r</m:t>
        </m:r>
        <m:r>
          <m:t>e</m:t>
        </m:r>
        <m:r>
          <m:t>a</m:t>
        </m:r>
        <m:r>
          <m:t>r</m:t>
        </m:r>
        <m:r>
          <m:t>l</m:t>
        </m:r>
        <m:r>
          <m:t>i</m:t>
        </m:r>
        <m:r>
          <m:t>e</m:t>
        </m:r>
        <m:r>
          <m:t>r</m:t>
        </m:r>
        <m:r>
          <m:rPr>
            <m:sty m:val="p"/>
          </m:rPr>
          <m:t>.</m:t>
        </m:r>
        <m:r>
          <m:t>M</m:t>
        </m:r>
        <m:r>
          <m:t>a</m:t>
        </m:r>
        <m:r>
          <m:t>n</m:t>
        </m:r>
        <m:r>
          <m:t>a</m:t>
        </m:r>
        <m:r>
          <m:t>g</m:t>
        </m:r>
        <m:r>
          <m:t>e</m:t>
        </m:r>
        <m:r>
          <m:t>m</m:t>
        </m:r>
        <m:r>
          <m:t>e</m:t>
        </m:r>
        <m:r>
          <m:t>n</m:t>
        </m:r>
        <m:r>
          <m:t>t</m:t>
        </m:r>
        <m:r>
          <m:t>h</m:t>
        </m:r>
        <m:r>
          <m:t>a</m:t>
        </m:r>
        <m:r>
          <m:t>s</m:t>
        </m:r>
        <m:r>
          <m:t>s</m:t>
        </m:r>
        <m:r>
          <m:t>a</m:t>
        </m:r>
        <m:r>
          <m:t>i</m:t>
        </m:r>
        <m:r>
          <m:t>d</m:t>
        </m:r>
        <m:r>
          <m:t>m</m:t>
        </m:r>
        <m:r>
          <m:t>o</m:t>
        </m:r>
        <m:r>
          <m:t>r</m:t>
        </m:r>
        <m:r>
          <m:t>e</m:t>
        </m:r>
        <m:r>
          <m:t>t</m:t>
        </m:r>
        <m:r>
          <m:t>h</m:t>
        </m:r>
        <m:r>
          <m:t>a</m:t>
        </m:r>
        <m:r>
          <m:t>n</m:t>
        </m:r>
        <m:r>
          <m:rPr>
            <m:sty m:val="p"/>
          </m:rPr>
          <m:t>*</m:t>
        </m:r>
        <m:r>
          <m:rPr>
            <m:sty m:val="p"/>
          </m:rPr>
          <m:t>*</m:t>
        </m:r>
      </m:oMath>
      <w:r>
        <w:t xml:space="preserve">8 of free cash flow per share** is highly likely in 2026 if revenue continues growing at a reasonable rate.</w:t>
      </w:r>
    </w:p>
    <w:p>
      <w:pPr>
        <w:pStyle w:val="BodyText"/>
      </w:pPr>
      <w:r>
        <w:t xml:space="preserve">The current first-half trajectory suggests potential upside to that target, provided the recovery persists.</w:t>
      </w:r>
    </w:p>
    <w:p>
      <w:pPr>
        <w:pStyle w:val="BodyText"/>
      </w:pPr>
      <w:r>
        <w:t xml:space="preserve">Key items to watch:</w:t>
      </w:r>
    </w:p>
    <w:p>
      <w:pPr>
        <w:pStyle w:val="Compact"/>
        <w:numPr>
          <w:ilvl w:val="0"/>
          <w:numId w:val="1012"/>
        </w:numPr>
      </w:pPr>
      <w:r>
        <w:t xml:space="preserve">Updated confidence in the $8-plus FCF-per-share target</w:t>
      </w:r>
    </w:p>
    <w:p>
      <w:pPr>
        <w:pStyle w:val="Compact"/>
        <w:numPr>
          <w:ilvl w:val="0"/>
          <w:numId w:val="1012"/>
        </w:numPr>
      </w:pPr>
      <w:r>
        <w:t xml:space="preserve">Whether management provides a higher framework for 2026</w:t>
      </w:r>
    </w:p>
    <w:p>
      <w:pPr>
        <w:pStyle w:val="Compact"/>
        <w:numPr>
          <w:ilvl w:val="0"/>
          <w:numId w:val="1012"/>
        </w:numPr>
      </w:pPr>
      <w:r>
        <w:t xml:space="preserve">Capital spending within the</w:t>
      </w:r>
      <w:r>
        <w:t xml:space="preserve"> </w:t>
      </w:r>
      <m:oMath>
        <m:r>
          <m:t>2</m:t>
        </m:r>
        <m:r>
          <m:t>B</m:t>
        </m:r>
        <m:r>
          <m:rPr>
            <m:sty m:val="p"/>
          </m:rPr>
          <m:t>–</m:t>
        </m:r>
      </m:oMath>
      <w:r>
        <w:t xml:space="preserve">3B range</w:t>
      </w:r>
    </w:p>
    <w:p>
      <w:pPr>
        <w:pStyle w:val="Compact"/>
        <w:numPr>
          <w:ilvl w:val="0"/>
          <w:numId w:val="1012"/>
        </w:numPr>
      </w:pPr>
      <w:r>
        <w:t xml:space="preserve">Working-capital effects from stronger sales</w:t>
      </w:r>
    </w:p>
    <w:p>
      <w:pPr>
        <w:pStyle w:val="Compact"/>
        <w:numPr>
          <w:ilvl w:val="0"/>
          <w:numId w:val="1012"/>
        </w:numPr>
      </w:pPr>
      <w:r>
        <w:t xml:space="preserve">Additional CHIPS Act funding or tax-credit benefits</w:t>
      </w:r>
    </w:p>
    <w:p>
      <w:pPr>
        <w:pStyle w:val="Compact"/>
        <w:numPr>
          <w:ilvl w:val="0"/>
          <w:numId w:val="1012"/>
        </w:numPr>
      </w:pPr>
      <w:r>
        <w:t xml:space="preserve">Repurchases, which were only $158M in Q1 versus $1.29B of dividends</w:t>
      </w:r>
    </w:p>
    <w:p>
      <w:pPr>
        <w:pStyle w:val="FirstParagraph"/>
      </w:pPr>
      <w:r>
        <w:t xml:space="preserve">Investors should note that TXN’s free-cash-flow definition adds proceeds from CHIPS Act incentives. Cash generation should therefore also be evaluated before those incentives.</w:t>
      </w:r>
    </w:p>
    <w:p>
      <w:r>
        <w:pict>
          <v:rect style="width:0;height:1.5pt" o:hralign="center" o:hrstd="t" o:hr="t"/>
        </w:pict>
      </w:r>
    </w:p>
    <w:bookmarkEnd w:id="19"/>
    <w:bookmarkStart w:id="20" w:name="silicon-labs-acquisition"/>
    <w:p>
      <w:pPr>
        <w:pStyle w:val="Heading2"/>
      </w:pPr>
      <w:r>
        <w:t xml:space="preserve">Silicon Labs acquisition</w:t>
      </w:r>
    </w:p>
    <w:p>
      <w:pPr>
        <w:pStyle w:val="FirstParagraph"/>
      </w:pPr>
      <w:r>
        <w:t xml:space="preserve">TXN has agreed to acquire Silicon Labs for approximately</w:t>
      </w:r>
      <w:r>
        <w:t xml:space="preserve"> </w:t>
      </w:r>
      <w:r>
        <w:rPr>
          <w:b/>
          <w:bCs/>
        </w:rPr>
        <w:t xml:space="preserve">$7.5B</w:t>
      </w:r>
      <w:r>
        <w:t xml:space="preserve">, or $231 per share in cash, with closing targeted for the first half of 2027.</w:t>
      </w:r>
    </w:p>
    <w:p>
      <w:pPr>
        <w:pStyle w:val="BodyText"/>
      </w:pPr>
      <w:r>
        <w:t xml:space="preserve">The strategic rationale includes:</w:t>
      </w:r>
    </w:p>
    <w:p>
      <w:pPr>
        <w:pStyle w:val="Compact"/>
        <w:numPr>
          <w:ilvl w:val="0"/>
          <w:numId w:val="1013"/>
        </w:numPr>
      </w:pPr>
      <w:r>
        <w:t xml:space="preserve">Approximately 1,200 additional wireless-connectivity products</w:t>
      </w:r>
    </w:p>
    <w:p>
      <w:pPr>
        <w:pStyle w:val="Compact"/>
        <w:numPr>
          <w:ilvl w:val="0"/>
          <w:numId w:val="1013"/>
        </w:numPr>
      </w:pPr>
      <w:r>
        <w:t xml:space="preserve">Greater scale in embedded processing</w:t>
      </w:r>
    </w:p>
    <w:p>
      <w:pPr>
        <w:pStyle w:val="Compact"/>
        <w:numPr>
          <w:ilvl w:val="0"/>
          <w:numId w:val="1013"/>
        </w:numPr>
      </w:pPr>
      <w:r>
        <w:t xml:space="preserve">Cross-selling through TXN’s direct sales and e-commerce channels</w:t>
      </w:r>
    </w:p>
    <w:p>
      <w:pPr>
        <w:pStyle w:val="Compact"/>
        <w:numPr>
          <w:ilvl w:val="0"/>
          <w:numId w:val="1013"/>
        </w:numPr>
      </w:pPr>
      <w:r>
        <w:t xml:space="preserve">Moving Silicon Labs production from external foundries into TXN’s internal fabs</w:t>
      </w:r>
    </w:p>
    <w:p>
      <w:pPr>
        <w:pStyle w:val="Compact"/>
        <w:numPr>
          <w:ilvl w:val="0"/>
          <w:numId w:val="1013"/>
        </w:numPr>
      </w:pPr>
      <w:r>
        <w:t xml:space="preserve">Approximately</w:t>
      </w:r>
      <w:r>
        <w:t xml:space="preserve"> </w:t>
      </w:r>
      <w:r>
        <w:rPr>
          <w:b/>
          <w:bCs/>
        </w:rPr>
        <w:t xml:space="preserve">$450M of targeted annual synergies</w:t>
      </w:r>
      <w:r>
        <w:t xml:space="preserve"> </w:t>
      </w:r>
      <w:r>
        <w:t xml:space="preserve">within three years after closing</w:t>
      </w:r>
    </w:p>
    <w:p>
      <w:pPr>
        <w:pStyle w:val="FirstParagraph"/>
      </w:pPr>
      <w:r>
        <w:t xml:space="preserve">The transaction is not likely to drive the immediate earnings reaction unless management changes the expected timing, financing plan or synergy outlook. Still, investors should watch acquisition expenses and any indication that regulatory approvals are taking longer than expected.</w:t>
      </w:r>
    </w:p>
    <w:p>
      <w:r>
        <w:pict>
          <v:rect style="width:0;height:1.5pt" o:hralign="center" o:hrstd="t" o:hr="t"/>
        </w:pict>
      </w:r>
    </w:p>
    <w:bookmarkEnd w:id="20"/>
    <w:bookmarkStart w:id="24" w:name="potential-stock-reaction-framework"/>
    <w:p>
      <w:pPr>
        <w:pStyle w:val="Heading2"/>
      </w:pPr>
      <w:r>
        <w:t xml:space="preserve">Potential stock-reaction framework</w:t>
      </w:r>
    </w:p>
    <w:bookmarkStart w:id="21" w:name="bull-case"/>
    <w:p>
      <w:pPr>
        <w:pStyle w:val="Heading3"/>
      </w:pPr>
      <w:r>
        <w:t xml:space="preserve">Bull case</w:t>
      </w:r>
    </w:p>
    <w:p>
      <w:pPr>
        <w:pStyle w:val="Compact"/>
        <w:numPr>
          <w:ilvl w:val="0"/>
          <w:numId w:val="1014"/>
        </w:numPr>
      </w:pPr>
      <w:r>
        <w:t xml:space="preserve">Revenue and EPS exceed the upper half of guidance.</w:t>
      </w:r>
    </w:p>
    <w:p>
      <w:pPr>
        <w:pStyle w:val="Compact"/>
        <w:numPr>
          <w:ilvl w:val="0"/>
          <w:numId w:val="1014"/>
        </w:numPr>
      </w:pPr>
      <w:r>
        <w:t xml:space="preserve">Industrial demand remains broad and accelerates through the quarter.</w:t>
      </w:r>
    </w:p>
    <w:p>
      <w:pPr>
        <w:pStyle w:val="Compact"/>
        <w:numPr>
          <w:ilvl w:val="0"/>
          <w:numId w:val="1014"/>
        </w:numPr>
      </w:pPr>
      <w:r>
        <w:t xml:space="preserve">Q3 guidance implies above-seasonal sequential growth.</w:t>
      </w:r>
    </w:p>
    <w:p>
      <w:pPr>
        <w:pStyle w:val="Compact"/>
        <w:numPr>
          <w:ilvl w:val="0"/>
          <w:numId w:val="1014"/>
        </w:numPr>
      </w:pPr>
      <w:r>
        <w:t xml:space="preserve">Data-center momentum remains strong, with application-specific products ramping.</w:t>
      </w:r>
    </w:p>
    <w:p>
      <w:pPr>
        <w:pStyle w:val="Compact"/>
        <w:numPr>
          <w:ilvl w:val="0"/>
          <w:numId w:val="1014"/>
        </w:numPr>
      </w:pPr>
      <w:r>
        <w:t xml:space="preserve">TXN confirms second-half price increases.</w:t>
      </w:r>
    </w:p>
    <w:p>
      <w:pPr>
        <w:pStyle w:val="Compact"/>
        <w:numPr>
          <w:ilvl w:val="0"/>
          <w:numId w:val="1014"/>
        </w:numPr>
      </w:pPr>
      <w:r>
        <w:t xml:space="preserve">Gross margin reaches or exceeds 60%.</w:t>
      </w:r>
    </w:p>
    <w:p>
      <w:pPr>
        <w:pStyle w:val="Compact"/>
        <w:numPr>
          <w:ilvl w:val="0"/>
          <w:numId w:val="1014"/>
        </w:numPr>
      </w:pPr>
      <w:r>
        <w:t xml:space="preserve">Management raises confidence around 2026 free cash flow.</w:t>
      </w:r>
    </w:p>
    <w:p>
      <w:pPr>
        <w:pStyle w:val="FirstParagraph"/>
      </w:pPr>
      <w:r>
        <w:t xml:space="preserve">This would support the view that TXN is entering a durable, high-incremental-margin recovery while capital intensity falls.</w:t>
      </w:r>
    </w:p>
    <w:bookmarkEnd w:id="21"/>
    <w:bookmarkStart w:id="22" w:name="base-case"/>
    <w:p>
      <w:pPr>
        <w:pStyle w:val="Heading3"/>
      </w:pPr>
      <w:r>
        <w:t xml:space="preserve">Base case</w:t>
      </w:r>
    </w:p>
    <w:p>
      <w:pPr>
        <w:pStyle w:val="Compact"/>
        <w:numPr>
          <w:ilvl w:val="0"/>
          <w:numId w:val="1015"/>
        </w:numPr>
      </w:pPr>
      <w:r>
        <w:t xml:space="preserve">Q2 results are near consensus.</w:t>
      </w:r>
    </w:p>
    <w:p>
      <w:pPr>
        <w:pStyle w:val="Compact"/>
        <w:numPr>
          <w:ilvl w:val="0"/>
          <w:numId w:val="1015"/>
        </w:numPr>
      </w:pPr>
      <w:r>
        <w:t xml:space="preserve">Q3 guidance reflects normal seasonality.</w:t>
      </w:r>
    </w:p>
    <w:p>
      <w:pPr>
        <w:pStyle w:val="Compact"/>
        <w:numPr>
          <w:ilvl w:val="0"/>
          <w:numId w:val="1015"/>
        </w:numPr>
      </w:pPr>
      <w:r>
        <w:t xml:space="preserve">Industrial remains positive but management retains cautious language.</w:t>
      </w:r>
    </w:p>
    <w:p>
      <w:pPr>
        <w:pStyle w:val="Compact"/>
        <w:numPr>
          <w:ilvl w:val="0"/>
          <w:numId w:val="1015"/>
        </w:numPr>
      </w:pPr>
      <w:r>
        <w:t xml:space="preserve">Data center continues growing, though at a slower rate.</w:t>
      </w:r>
    </w:p>
    <w:p>
      <w:pPr>
        <w:pStyle w:val="Compact"/>
        <w:numPr>
          <w:ilvl w:val="0"/>
          <w:numId w:val="1015"/>
        </w:numPr>
      </w:pPr>
      <w:r>
        <w:t xml:space="preserve">Pricing discussions remain ongoing.</w:t>
      </w:r>
    </w:p>
    <w:p>
      <w:pPr>
        <w:pStyle w:val="Compact"/>
        <w:numPr>
          <w:ilvl w:val="0"/>
          <w:numId w:val="1015"/>
        </w:numPr>
      </w:pPr>
      <w:r>
        <w:t xml:space="preserve">Free cash flow develops broadly as expected.</w:t>
      </w:r>
    </w:p>
    <w:p>
      <w:pPr>
        <w:pStyle w:val="FirstParagraph"/>
      </w:pPr>
      <w:r>
        <w:t xml:space="preserve">Given the stock’s advance, this outcome could produce a muted or negative reaction even if the underlying business remains healthy.</w:t>
      </w:r>
    </w:p>
    <w:bookmarkEnd w:id="22"/>
    <w:bookmarkStart w:id="23" w:name="bear-case"/>
    <w:p>
      <w:pPr>
        <w:pStyle w:val="Heading3"/>
      </w:pPr>
      <w:r>
        <w:t xml:space="preserve">Bear case</w:t>
      </w:r>
    </w:p>
    <w:p>
      <w:pPr>
        <w:pStyle w:val="Compact"/>
        <w:numPr>
          <w:ilvl w:val="0"/>
          <w:numId w:val="1016"/>
        </w:numPr>
      </w:pPr>
      <w:r>
        <w:t xml:space="preserve">Q2 lands near the low end of guidance or Q3 guidance disappoints.</w:t>
      </w:r>
    </w:p>
    <w:p>
      <w:pPr>
        <w:pStyle w:val="Compact"/>
        <w:numPr>
          <w:ilvl w:val="0"/>
          <w:numId w:val="1016"/>
        </w:numPr>
      </w:pPr>
      <w:r>
        <w:t xml:space="preserve">Industrial orders moderated late in the quarter.</w:t>
      </w:r>
    </w:p>
    <w:p>
      <w:pPr>
        <w:pStyle w:val="Compact"/>
        <w:numPr>
          <w:ilvl w:val="0"/>
          <w:numId w:val="1016"/>
        </w:numPr>
      </w:pPr>
      <w:r>
        <w:t xml:space="preserve">Management describes customer restocking rather than end-demand growth.</w:t>
      </w:r>
    </w:p>
    <w:p>
      <w:pPr>
        <w:pStyle w:val="Compact"/>
        <w:numPr>
          <w:ilvl w:val="0"/>
          <w:numId w:val="1016"/>
        </w:numPr>
      </w:pPr>
      <w:r>
        <w:t xml:space="preserve">China automotive weakness spreads to other regions.</w:t>
      </w:r>
    </w:p>
    <w:p>
      <w:pPr>
        <w:pStyle w:val="Compact"/>
        <w:numPr>
          <w:ilvl w:val="0"/>
          <w:numId w:val="1016"/>
        </w:numPr>
      </w:pPr>
      <w:r>
        <w:t xml:space="preserve">Data-center growth slows faster than expected.</w:t>
      </w:r>
    </w:p>
    <w:p>
      <w:pPr>
        <w:pStyle w:val="Compact"/>
        <w:numPr>
          <w:ilvl w:val="0"/>
          <w:numId w:val="1016"/>
        </w:numPr>
      </w:pPr>
      <w:r>
        <w:t xml:space="preserve">Pricing actions are delayed.</w:t>
      </w:r>
    </w:p>
    <w:p>
      <w:pPr>
        <w:pStyle w:val="Compact"/>
        <w:numPr>
          <w:ilvl w:val="0"/>
          <w:numId w:val="1016"/>
        </w:numPr>
      </w:pPr>
      <w:r>
        <w:t xml:space="preserve">Inventory increases or gross-margin leverage falls short.</w:t>
      </w:r>
    </w:p>
    <w:p>
      <w:pPr>
        <w:pStyle w:val="FirstParagraph"/>
      </w:pPr>
      <w:r>
        <w:t xml:space="preserve">The largest downside risk is evidence that the first-half recovery was another false start after the stock’s roughly 68% year-to-date rise.</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The Q2 numbers themselves present a relatively straightforward hurdle: approximately</w:t>
      </w:r>
      <w:r>
        <w:t xml:space="preserve"> </w:t>
      </w:r>
      <w:r>
        <w:rPr>
          <w:b/>
          <w:bCs/>
        </w:rPr>
        <w:t xml:space="preserve">$5.21B of revenue, $1.92 of EPS and a gross margin near 59.6%</w:t>
      </w:r>
      <w:r>
        <w:t xml:space="preserve">. The more consequential issue is whether TXN can demonstrate that the analog upcycle is broad, durable and extending into the second half.</w:t>
      </w:r>
    </w:p>
    <w:p>
      <w:pPr>
        <w:pStyle w:val="BodyText"/>
      </w:pPr>
      <w:r>
        <w:t xml:space="preserve">The three most important items are:</w:t>
      </w:r>
    </w:p>
    <w:p>
      <w:pPr>
        <w:pStyle w:val="Compact"/>
        <w:numPr>
          <w:ilvl w:val="0"/>
          <w:numId w:val="1017"/>
        </w:numPr>
      </w:pPr>
      <w:r>
        <w:rPr>
          <w:b/>
          <w:bCs/>
        </w:rPr>
        <w:t xml:space="preserve">Q3 revenue guidance and management’s confidence in industrial demand</w:t>
      </w:r>
    </w:p>
    <w:p>
      <w:pPr>
        <w:pStyle w:val="Compact"/>
        <w:numPr>
          <w:ilvl w:val="0"/>
          <w:numId w:val="1017"/>
        </w:numPr>
      </w:pPr>
      <w:r>
        <w:rPr>
          <w:b/>
          <w:bCs/>
        </w:rPr>
        <w:t xml:space="preserve">The timing and magnitude of second-half pricing actions</w:t>
      </w:r>
    </w:p>
    <w:p>
      <w:pPr>
        <w:pStyle w:val="Compact"/>
        <w:numPr>
          <w:ilvl w:val="0"/>
          <w:numId w:val="1017"/>
        </w:numPr>
      </w:pPr>
      <w:r>
        <w:rPr>
          <w:b/>
          <w:bCs/>
        </w:rPr>
        <w:t xml:space="preserve">Evidence that lower capital spending and higher utilization are accelerating free cash flow</w:t>
      </w:r>
    </w:p>
    <w:p>
      <w:pPr>
        <w:pStyle w:val="FirstParagraph"/>
      </w:pPr>
      <w:r>
        <w:t xml:space="preserve">TXN’s long-term manufacturing and free-cash-flow strategy is beginning to work as intended. But after the stock’s sharp rerating, investors are now paying for continued execution. A routine beat may not be enough; the call needs to validate durability.</w:t>
      </w:r>
    </w:p>
    <w:p>
      <w:pPr>
        <w:pStyle w:val="BodyText"/>
      </w:pPr>
      <w:r>
        <w:rPr>
          <w:i/>
          <w:iCs/>
        </w:rPr>
        <w:t xml:space="preserve">Research basis: TXN’s Q1 2026 earnings release, earnings call and 10-Q; its February 2026 capital-management presentation; the Silicon Labs acquisition announcement; recent peer commentary; consensus data and market prices through July 21,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2026-07-22T00:32:48Z</dcterms:created>
  <dcterms:modified xsi:type="dcterms:W3CDTF">2026-07-22T00:32:48Z</dcterms:modified>
</cp:coreProperties>
</file>

<file path=docProps/custom.xml><?xml version="1.0" encoding="utf-8"?>
<Properties xmlns="http://schemas.openxmlformats.org/officeDocument/2006/custom-properties" xmlns:vt="http://schemas.openxmlformats.org/officeDocument/2006/docPropsVTypes"/>
</file>