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e3f53131cde6e04db088c6e25576d614589789"/>
    <w:p>
      <w:pPr>
        <w:pStyle w:val="Heading1"/>
      </w:pPr>
      <w:r>
        <w:t xml:space="preserve">Texas Instruments (TXN) — 2Q26 Earnings Preview</w:t>
      </w:r>
    </w:p>
    <w:p>
      <w:pPr>
        <w:pStyle w:val="BlockText"/>
      </w:pPr>
      <w:r>
        <w:rPr>
          <w:b/>
          <w:bCs/>
        </w:rPr>
        <w:t xml:space="preserve">Timing correction:</w:t>
      </w:r>
      <w:r>
        <w:t xml:space="preserve"> </w:t>
      </w:r>
      <w:r>
        <w:t xml:space="preserve">TXN reports</w:t>
      </w:r>
      <w:r>
        <w:t xml:space="preserve"> </w:t>
      </w:r>
      <w:r>
        <w:rPr>
          <w:b/>
          <w:bCs/>
        </w:rPr>
        <w:t xml:space="preserve">today, Wednesday, July 22, 2026</w:t>
      </w:r>
      <w:r>
        <w:t xml:space="preserve">, after the U.S. market close, with its conference call scheduled for</w:t>
      </w:r>
      <w:r>
        <w:t xml:space="preserve"> </w:t>
      </w:r>
      <w:r>
        <w:rPr>
          <w:b/>
          <w:bCs/>
        </w:rPr>
        <w:t xml:space="preserve">3:30 p.m. Central Time</w:t>
      </w:r>
      <w:r>
        <w:t xml:space="preserve">—not tomorrow. (</w:t>
      </w:r>
      <w:hyperlink r:id="rId9">
        <w:r>
          <w:rPr>
            <w:rStyle w:val="Hyperlink"/>
          </w:rPr>
          <w:t xml:space="preserve">investor.ti.com</w:t>
        </w:r>
      </w:hyperlink>
      <w:r>
        <w:t xml:space="preserve">)</w:t>
      </w:r>
    </w:p>
    <w:bookmarkStart w:id="10" w:name="Xd2a99884cfad0c0dcdabf7360867e19461cc6bf"/>
    <w:p>
      <w:pPr>
        <w:pStyle w:val="Heading2"/>
      </w:pPr>
      <w:r>
        <w:t xml:space="preserve">Investment view: Q2 should be solid; the stock reaction will hinge on the durability of the recovery</w:t>
      </w:r>
    </w:p>
    <w:p>
      <w:pPr>
        <w:pStyle w:val="FirstParagraph"/>
      </w:pPr>
      <w:r>
        <w:t xml:space="preserve">TXN enters earnings with favorable underlying momentum: industrial demand broadened materially in Q1, data-center revenue continued to grow rapidly, margins were recovering, and management guided Q2 above normal seasonal growth. The key question is no longer whether Q2 lands near expectations—it is whether management can validate that the recovery will</w:t>
      </w:r>
      <w:r>
        <w:t xml:space="preserve"> </w:t>
      </w:r>
      <w:r>
        <w:rPr>
          <w:b/>
          <w:bCs/>
        </w:rPr>
        <w:t xml:space="preserve">continue into the second half of 2026</w:t>
      </w:r>
      <w:r>
        <w:t xml:space="preserve">.</w:t>
      </w:r>
    </w:p>
    <w:p>
      <w:pPr>
        <w:pStyle w:val="BodyText"/>
      </w:pPr>
      <w:r>
        <w:t xml:space="preserve">That distinction matters because management was explicitly cautious in April: 2025 began strongly before decelerating later in the year. Thus, a Q2 beat without a constructive Q3 outlook, evidence of sustained industrial breadth, or improving automotive demand could be insufficient for a stock that has already rerated on a cyclical recovery thesis.</w:t>
      </w:r>
    </w:p>
    <w:bookmarkEnd w:id="10"/>
    <w:bookmarkStart w:id="12"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TXN Q2 guide</w:t>
            </w:r>
          </w:p>
        </w:tc>
        <w:tc>
          <w:tcPr/>
          <w:p>
            <w:pPr>
              <w:pStyle w:val="Compact"/>
              <w:jc w:val="right"/>
            </w:pPr>
            <w:r>
              <w:t xml:space="preserve">Street expectation*</w:t>
            </w:r>
          </w:p>
        </w:tc>
        <w:tc>
          <w:tcPr/>
          <w:p>
            <w:pPr>
              <w:pStyle w:val="Compact"/>
              <w:jc w:val="right"/>
            </w:pPr>
            <w:r>
              <w:t xml:space="preserve">Q1 2026 actual</w:t>
            </w:r>
          </w:p>
        </w:tc>
        <w:tc>
          <w:tcPr/>
          <w:p>
            <w:pPr>
              <w:pStyle w:val="Compact"/>
              <w:jc w:val="right"/>
            </w:pPr>
            <w:r>
              <w:t xml:space="preserve">Q2 2025 actual</w:t>
            </w:r>
          </w:p>
        </w:tc>
      </w:tr>
      <w:tr>
        <w:tc>
          <w:tcPr/>
          <w:p>
            <w:pPr>
              <w:pStyle w:val="Compact"/>
            </w:pPr>
            <w:r>
              <w:t xml:space="preserve">Revenue</w:t>
            </w:r>
          </w:p>
        </w:tc>
        <w:tc>
          <w:tcPr/>
          <w:p>
            <w:pPr>
              <w:pStyle w:val="Compact"/>
              <w:jc w:val="right"/>
            </w:pPr>
            <m:oMath>
              <m:r>
                <m:t>5.00</m:t>
              </m:r>
              <m:r>
                <m:t>B</m:t>
              </m:r>
              <m:r>
                <m:rPr>
                  <m:sty m:val="p"/>
                </m:rPr>
                <m:t>–</m:t>
              </m:r>
            </m:oMath>
            <w:r>
              <w:t xml:space="preserve">5.40B</w:t>
            </w:r>
          </w:p>
        </w:tc>
        <w:tc>
          <w:tcPr/>
          <w:p>
            <w:pPr>
              <w:pStyle w:val="Compact"/>
              <w:jc w:val="right"/>
            </w:pPr>
            <w:r>
              <w:rPr>
                <w:b/>
                <w:bCs/>
              </w:rPr>
              <w:t xml:space="preserve">$5.21B</w:t>
            </w:r>
          </w:p>
        </w:tc>
        <w:tc>
          <w:tcPr/>
          <w:p>
            <w:pPr>
              <w:pStyle w:val="Compact"/>
              <w:jc w:val="right"/>
            </w:pPr>
            <w:r>
              <w:t xml:space="preserve">$4.83B</w:t>
            </w:r>
          </w:p>
        </w:tc>
        <w:tc>
          <w:tcPr/>
          <w:p>
            <w:pPr>
              <w:pStyle w:val="Compact"/>
              <w:jc w:val="right"/>
            </w:pPr>
            <w:r>
              <w:t xml:space="preserve">$4.45B</w:t>
            </w:r>
          </w:p>
        </w:tc>
      </w:tr>
      <w:tr>
        <w:tc>
          <w:tcPr/>
          <w:p>
            <w:pPr>
              <w:pStyle w:val="Compact"/>
            </w:pPr>
            <w:r>
              <w:t xml:space="preserve">Diluted EPS</w:t>
            </w:r>
          </w:p>
        </w:tc>
        <w:tc>
          <w:tcPr/>
          <w:p>
            <w:pPr>
              <w:pStyle w:val="Compact"/>
              <w:jc w:val="right"/>
            </w:pPr>
            <m:oMath>
              <m:r>
                <m:t>1.77</m:t>
              </m:r>
              <m:r>
                <m:rPr>
                  <m:sty m:val="p"/>
                </m:rPr>
                <m:t>–</m:t>
              </m:r>
            </m:oMath>
            <w:r>
              <w:t xml:space="preserve">2.05</w:t>
            </w:r>
          </w:p>
        </w:tc>
        <w:tc>
          <w:tcPr/>
          <w:p>
            <w:pPr>
              <w:pStyle w:val="Compact"/>
              <w:jc w:val="right"/>
            </w:pPr>
            <w:r>
              <w:rPr>
                <w:b/>
                <w:bCs/>
              </w:rPr>
              <w:t xml:space="preserve">$1.92</w:t>
            </w:r>
          </w:p>
        </w:tc>
        <w:tc>
          <w:tcPr/>
          <w:p>
            <w:pPr>
              <w:pStyle w:val="Compact"/>
              <w:jc w:val="right"/>
            </w:pPr>
            <w:r>
              <w:t xml:space="preserve">$1.68</w:t>
            </w:r>
          </w:p>
        </w:tc>
        <w:tc>
          <w:tcPr/>
          <w:p>
            <w:pPr>
              <w:pStyle w:val="Compact"/>
              <w:jc w:val="right"/>
            </w:pPr>
            <w:r>
              <w:t xml:space="preserve">$1.41</w:t>
            </w:r>
          </w:p>
        </w:tc>
      </w:tr>
      <w:tr>
        <w:tc>
          <w:tcPr/>
          <w:p>
            <w:pPr>
              <w:pStyle w:val="Compact"/>
            </w:pPr>
            <w:r>
              <w:t xml:space="preserve">Gross margin</w:t>
            </w:r>
          </w:p>
        </w:tc>
        <w:tc>
          <w:tcPr/>
          <w:p>
            <w:pPr>
              <w:pStyle w:val="Compact"/>
              <w:jc w:val="right"/>
            </w:pPr>
            <w:r>
              <w:t xml:space="preserve">Not explicitly guided</w:t>
            </w:r>
          </w:p>
        </w:tc>
        <w:tc>
          <w:tcPr/>
          <w:p>
            <w:pPr>
              <w:pStyle w:val="Compact"/>
              <w:jc w:val="right"/>
            </w:pPr>
            <w:r>
              <w:rPr>
                <w:b/>
                <w:bCs/>
              </w:rPr>
              <w:t xml:space="preserve">~59.6%</w:t>
            </w:r>
          </w:p>
        </w:tc>
        <w:tc>
          <w:tcPr/>
          <w:p>
            <w:pPr>
              <w:pStyle w:val="Compact"/>
              <w:jc w:val="right"/>
            </w:pPr>
            <w:r>
              <w:t xml:space="preserve">58.0%</w:t>
            </w:r>
          </w:p>
        </w:tc>
        <w:tc>
          <w:tcPr/>
          <w:p>
            <w:pPr>
              <w:pStyle w:val="Compact"/>
              <w:jc w:val="right"/>
            </w:pPr>
            <w:r>
              <w:t xml:space="preserve">—</w:t>
            </w:r>
          </w:p>
        </w:tc>
      </w:tr>
      <w:tr>
        <w:tc>
          <w:tcPr/>
          <w:p>
            <w:pPr>
              <w:pStyle w:val="Compact"/>
            </w:pPr>
            <w:r>
              <w:t xml:space="preserve">Free cash flow</w:t>
            </w:r>
          </w:p>
        </w:tc>
        <w:tc>
          <w:tcPr/>
          <w:p>
            <w:pPr>
              <w:pStyle w:val="Compact"/>
              <w:jc w:val="right"/>
            </w:pPr>
            <w:r>
              <w:t xml:space="preserve">Not explicitly guided</w:t>
            </w:r>
          </w:p>
        </w:tc>
        <w:tc>
          <w:tcPr/>
          <w:p>
            <w:pPr>
              <w:pStyle w:val="Compact"/>
              <w:jc w:val="right"/>
            </w:pPr>
            <w:r>
              <w:rPr>
                <w:b/>
                <w:bCs/>
              </w:rPr>
              <w:t xml:space="preserve">~$1.77B</w:t>
            </w:r>
          </w:p>
        </w:tc>
        <w:tc>
          <w:tcPr/>
          <w:p>
            <w:pPr>
              <w:pStyle w:val="Compact"/>
              <w:jc w:val="right"/>
            </w:pPr>
            <w:r>
              <w:t xml:space="preserve">$1.40B</w:t>
            </w:r>
          </w:p>
        </w:tc>
        <w:tc>
          <w:tcPr/>
          <w:p>
            <w:pPr>
              <w:pStyle w:val="Compact"/>
              <w:jc w:val="right"/>
            </w:pPr>
            <w:r>
              <w:t xml:space="preserve">—</w:t>
            </w:r>
          </w:p>
        </w:tc>
      </w:tr>
    </w:tbl>
    <w:p>
      <w:pPr>
        <w:pStyle w:val="BodyText"/>
      </w:pPr>
      <w:r>
        <w:t xml:space="preserve">*Street expectations from the pre-earnings market digest.</w:t>
      </w:r>
    </w:p>
    <w:p>
      <w:pPr>
        <w:pStyle w:val="BodyText"/>
      </w:pPr>
      <w:r>
        <w:t xml:space="preserve">At the midpoint of management’s guide, revenue would rise roughly</w:t>
      </w:r>
      <w:r>
        <w:t xml:space="preserve"> </w:t>
      </w:r>
      <w:r>
        <w:rPr>
          <w:b/>
          <w:bCs/>
        </w:rPr>
        <w:t xml:space="preserve">8% sequentially</w:t>
      </w:r>
      <w:r>
        <w:t xml:space="preserve"> </w:t>
      </w:r>
      <w:r>
        <w:t xml:space="preserve">and</w:t>
      </w:r>
      <w:r>
        <w:t xml:space="preserve"> </w:t>
      </w:r>
      <w:r>
        <w:rPr>
          <w:b/>
          <w:bCs/>
        </w:rPr>
        <w:t xml:space="preserve">17% year over year</w:t>
      </w:r>
      <w:r>
        <w:t xml:space="preserve">, while midpoint EPS of</w:t>
      </w:r>
      <w:r>
        <w:t xml:space="preserve"> </w:t>
      </w:r>
      <w:r>
        <w:rPr>
          <w:b/>
          <w:bCs/>
        </w:rPr>
        <w:t xml:space="preserve">$1.91</w:t>
      </w:r>
      <w:r>
        <w:t xml:space="preserve"> </w:t>
      </w:r>
      <w:r>
        <w:t xml:space="preserve">would be up about</w:t>
      </w:r>
      <w:r>
        <w:t xml:space="preserve"> </w:t>
      </w:r>
      <w:r>
        <w:rPr>
          <w:b/>
          <w:bCs/>
        </w:rPr>
        <w:t xml:space="preserve">14% sequentially</w:t>
      </w:r>
      <w:r>
        <w:t xml:space="preserve"> </w:t>
      </w:r>
      <w:r>
        <w:t xml:space="preserve">and</w:t>
      </w:r>
      <w:r>
        <w:t xml:space="preserve"> </w:t>
      </w:r>
      <w:r>
        <w:rPr>
          <w:b/>
          <w:bCs/>
        </w:rPr>
        <w:t xml:space="preserve">35% year over year</w:t>
      </w:r>
      <w:r>
        <w:t xml:space="preserve">. The consensus revenue and EPS estimates are essentially at the center of TXN’s guided ranges, implying the market needs more than a routine beat—particularly a favorable outlook—to become incrementally bullish. TI’s formal Q2 outlook was</w:t>
      </w:r>
      <w:r>
        <w:t xml:space="preserve"> </w:t>
      </w:r>
      <m:oMath>
        <m:r>
          <m:t>5.0</m:t>
        </m:r>
        <m:r>
          <m:t>b</m:t>
        </m:r>
        <m:r>
          <m:t>i</m:t>
        </m:r>
        <m:r>
          <m:t>l</m:t>
        </m:r>
        <m:r>
          <m:t>l</m:t>
        </m:r>
        <m:r>
          <m:t>i</m:t>
        </m:r>
        <m:r>
          <m:t>o</m:t>
        </m:r>
        <m:r>
          <m:t>n</m:t>
        </m:r>
        <m:r>
          <m:rPr>
            <m:sty m:val="p"/>
          </m:rPr>
          <m:t>–</m:t>
        </m:r>
      </m:oMath>
      <w:r>
        <w:t xml:space="preserve">5.4 billion in revenue and</w:t>
      </w:r>
      <w:r>
        <w:t xml:space="preserve"> </w:t>
      </w:r>
      <m:oMath>
        <m:r>
          <m:t>1.77</m:t>
        </m:r>
        <m:r>
          <m:rPr>
            <m:sty m:val="p"/>
          </m:rPr>
          <m:t>–</m:t>
        </m:r>
      </m:oMath>
      <w:r>
        <w:t xml:space="preserve">2.05 in EPS. (</w:t>
      </w:r>
      <w:hyperlink r:id="rId11">
        <w:r>
          <w:rPr>
            <w:rStyle w:val="Hyperlink"/>
          </w:rPr>
          <w:t xml:space="preserve">investor.ti.com</w:t>
        </w:r>
      </w:hyperlink>
      <w:r>
        <w:t xml:space="preserve">)</w:t>
      </w:r>
    </w:p>
    <w:bookmarkEnd w:id="12"/>
    <w:bookmarkStart w:id="16" w:name="the-three-issues-that-matter-most"/>
    <w:p>
      <w:pPr>
        <w:pStyle w:val="Heading2"/>
      </w:pPr>
      <w:r>
        <w:t xml:space="preserve">The three issues that matter most</w:t>
      </w:r>
    </w:p>
    <w:bookmarkStart w:id="13" w:name="Xe22704bf223dee0ac36ba873053f5c02d0d74f5"/>
    <w:p>
      <w:pPr>
        <w:pStyle w:val="Heading3"/>
      </w:pPr>
      <w:r>
        <w:t xml:space="preserve">1. Is industrial demand genuinely durable and broad?</w:t>
      </w:r>
    </w:p>
    <w:p>
      <w:pPr>
        <w:pStyle w:val="FirstParagraph"/>
      </w:pPr>
      <w:r>
        <w:t xml:space="preserve">This is the central fundamental question. In Q1, industrial revenue increased</w:t>
      </w:r>
      <w:r>
        <w:t xml:space="preserve"> </w:t>
      </w:r>
      <w:r>
        <w:rPr>
          <w:b/>
          <w:bCs/>
        </w:rPr>
        <w:t xml:space="preserve">more than 30% year over year</w:t>
      </w:r>
      <w:r>
        <w:t xml:space="preserve"> </w:t>
      </w:r>
      <w:r>
        <w:t xml:space="preserve">and</w:t>
      </w:r>
      <w:r>
        <w:t xml:space="preserve"> </w:t>
      </w:r>
      <w:r>
        <w:rPr>
          <w:b/>
          <w:bCs/>
        </w:rPr>
        <w:t xml:space="preserve">more than 20% sequentially</w:t>
      </w:r>
      <w:r>
        <w:t xml:space="preserve">, with growth across sectors, geographies, and both large and small customers. Management characterized this as the first quarter in which the “tail” of the industrial market appeared to be waking up more broadly.</w:t>
      </w:r>
    </w:p>
    <w:p>
      <w:pPr>
        <w:pStyle w:val="BodyText"/>
      </w:pPr>
      <w:r>
        <w:t xml:space="preserve">The favorable interpretation is that TI is moving from inventory normalization into a broader demand recovery, with industrial still below its 2022 peak despite several years of secular content growth. The cautious interpretation is that a portion of the rebound could still reflect restocking or uneven order behavior.</w:t>
      </w:r>
    </w:p>
    <w:p>
      <w:pPr>
        <w:pStyle w:val="BodyText"/>
      </w:pPr>
      <w:r>
        <w:rPr>
          <w:b/>
          <w:bCs/>
        </w:rPr>
        <w:t xml:space="preserve">What investors should listen for:</w:t>
      </w:r>
    </w:p>
    <w:p>
      <w:pPr>
        <w:pStyle w:val="Compact"/>
        <w:numPr>
          <w:ilvl w:val="0"/>
          <w:numId w:val="1001"/>
        </w:numPr>
      </w:pPr>
      <w:r>
        <w:t xml:space="preserve">Whether industrial growth remained broad through June and July.</w:t>
      </w:r>
    </w:p>
    <w:p>
      <w:pPr>
        <w:pStyle w:val="Compact"/>
        <w:numPr>
          <w:ilvl w:val="0"/>
          <w:numId w:val="1001"/>
        </w:numPr>
      </w:pPr>
      <w:r>
        <w:t xml:space="preserve">Commentary on distributor inventory, order visibility, and cancellation behavior.</w:t>
      </w:r>
    </w:p>
    <w:p>
      <w:pPr>
        <w:pStyle w:val="Compact"/>
        <w:numPr>
          <w:ilvl w:val="0"/>
          <w:numId w:val="1001"/>
        </w:numPr>
      </w:pPr>
      <w:r>
        <w:t xml:space="preserve">Any indication that growth is becoming more demand-driven rather than replenishment-driven.</w:t>
      </w:r>
    </w:p>
    <w:p>
      <w:pPr>
        <w:pStyle w:val="Compact"/>
        <w:numPr>
          <w:ilvl w:val="0"/>
          <w:numId w:val="1001"/>
        </w:numPr>
      </w:pPr>
      <w:r>
        <w:t xml:space="preserve">Management’s confidence—or lack thereof—in carrying growth into Q3 and 2H26.</w:t>
      </w:r>
    </w:p>
    <w:bookmarkEnd w:id="13"/>
    <w:bookmarkStart w:id="14" w:name="X3275c67b6ca444caebf1215750e115e32802f83"/>
    <w:p>
      <w:pPr>
        <w:pStyle w:val="Heading3"/>
      </w:pPr>
      <w:r>
        <w:t xml:space="preserve">2. Can data center remain a material incremental growth driver?</w:t>
      </w:r>
    </w:p>
    <w:p>
      <w:pPr>
        <w:pStyle w:val="FirstParagraph"/>
      </w:pPr>
      <w:r>
        <w:t xml:space="preserve">Data center was the standout Q1 end market: revenue grew about</w:t>
      </w:r>
      <w:r>
        <w:t xml:space="preserve"> </w:t>
      </w:r>
      <w:r>
        <w:rPr>
          <w:b/>
          <w:bCs/>
        </w:rPr>
        <w:t xml:space="preserve">90% year over year</w:t>
      </w:r>
      <w:r>
        <w:t xml:space="preserve"> </w:t>
      </w:r>
      <w:r>
        <w:t xml:space="preserve">and more than</w:t>
      </w:r>
      <w:r>
        <w:t xml:space="preserve"> </w:t>
      </w:r>
      <w:r>
        <w:rPr>
          <w:b/>
          <w:bCs/>
        </w:rPr>
        <w:t xml:space="preserve">25% sequentially</w:t>
      </w:r>
      <w:r>
        <w:t xml:space="preserve">. TXN’s thesis is that it can participate not only in specialized power-delivery sockets but also in the large number of general-purpose analog components used throughout a server rack.</w:t>
      </w:r>
    </w:p>
    <w:p>
      <w:pPr>
        <w:pStyle w:val="BodyText"/>
      </w:pPr>
      <w:r>
        <w:t xml:space="preserve">Management has also argued that its broad portfolio, internal manufacturing, inventory availability, and North American production footprint can translate into design wins and share gains when customers face supply constraints. The July report should clarify whether this growth remains unusually strong, whether it is broadening across applications, and how much contribution management expects in the second half.</w:t>
      </w:r>
    </w:p>
    <w:p>
      <w:pPr>
        <w:pStyle w:val="BodyText"/>
      </w:pPr>
      <w:r>
        <w:t xml:space="preserve">A sustained data-center ramp would make TXN’s recovery less dependent on traditional industrial cyclicality. Conversely, any cooling in this business would increase the burden on industrial and automotive to support the growth narrative.</w:t>
      </w:r>
    </w:p>
    <w:bookmarkEnd w:id="14"/>
    <w:bookmarkStart w:id="15" w:name="Xaf6e70f48af82f15c155f04e98dd3d4d6ee517c"/>
    <w:p>
      <w:pPr>
        <w:pStyle w:val="Heading3"/>
      </w:pPr>
      <w:r>
        <w:t xml:space="preserve">3. Will Q3 guidance confirm an upcycle—or repeat 2025’s false start?</w:t>
      </w:r>
    </w:p>
    <w:p>
      <w:pPr>
        <w:pStyle w:val="FirstParagraph"/>
      </w:pPr>
      <w:r>
        <w:t xml:space="preserve">Management’s April commentary was unusually clear: Q2 guidance was “slightly above seasonal,” but it wanted another quarter of evidence before concluding that the demand recovery could persist. This caution was informed by 2025, when early-year analog strength did not continue at the same pace in the back half.</w:t>
      </w:r>
    </w:p>
    <w:p>
      <w:pPr>
        <w:pStyle w:val="BodyText"/>
      </w:pPr>
      <w:r>
        <w:t xml:space="preserve">Therefore,</w:t>
      </w:r>
      <w:r>
        <w:t xml:space="preserve"> </w:t>
      </w:r>
      <w:r>
        <w:rPr>
          <w:b/>
          <w:bCs/>
        </w:rPr>
        <w:t xml:space="preserve">Q3 revenue guidance is likely more important than the reported Q2 result</w:t>
      </w:r>
      <w:r>
        <w:t xml:space="preserve">.</w:t>
      </w:r>
    </w:p>
    <w:p>
      <w:pPr>
        <w:pStyle w:val="Compact"/>
        <w:numPr>
          <w:ilvl w:val="0"/>
          <w:numId w:val="1002"/>
        </w:numPr>
      </w:pPr>
      <w:r>
        <w:t xml:space="preserve">A guide indicating normal seasonal growth or better, supported by industrial and data-center momentum, would support the view that TI is entering a more durable upcycle.</w:t>
      </w:r>
    </w:p>
    <w:p>
      <w:pPr>
        <w:pStyle w:val="Compact"/>
        <w:numPr>
          <w:ilvl w:val="0"/>
          <w:numId w:val="1002"/>
        </w:numPr>
      </w:pPr>
      <w:r>
        <w:t xml:space="preserve">A conservative Q3 guide, especially if attributed to industrial order volatility or automotive softness, would revive concerns that Q2 was the peak rate of growth.</w:t>
      </w:r>
    </w:p>
    <w:bookmarkEnd w:id="15"/>
    <w:bookmarkEnd w:id="16"/>
    <w:bookmarkStart w:id="17" w:name="end-market-scorecard"/>
    <w:p>
      <w:pPr>
        <w:pStyle w:val="Heading2"/>
      </w:pPr>
      <w:r>
        <w:t xml:space="preserve">End-market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End market</w:t>
            </w:r>
          </w:p>
        </w:tc>
        <w:tc>
          <w:tcPr/>
          <w:p>
            <w:pPr>
              <w:pStyle w:val="Compact"/>
            </w:pPr>
            <w:r>
              <w:t xml:space="preserve">Q1 trend</w:t>
            </w:r>
          </w:p>
        </w:tc>
        <w:tc>
          <w:tcPr/>
          <w:p>
            <w:pPr>
              <w:pStyle w:val="Compact"/>
            </w:pPr>
            <w:r>
              <w:t xml:space="preserve">What to watch in Q2</w:t>
            </w:r>
          </w:p>
        </w:tc>
      </w:tr>
      <w:tr>
        <w:tc>
          <w:tcPr/>
          <w:p>
            <w:pPr>
              <w:pStyle w:val="Compact"/>
            </w:pPr>
            <w:r>
              <w:rPr>
                <w:b/>
                <w:bCs/>
              </w:rPr>
              <w:t xml:space="preserve">Industrial</w:t>
            </w:r>
          </w:p>
        </w:tc>
        <w:tc>
          <w:tcPr/>
          <w:p>
            <w:pPr>
              <w:pStyle w:val="Compact"/>
            </w:pPr>
            <w:r>
              <w:t xml:space="preserve">&gt;30% YoY; &gt;20% QoQ</w:t>
            </w:r>
          </w:p>
        </w:tc>
        <w:tc>
          <w:tcPr/>
          <w:p>
            <w:pPr>
              <w:pStyle w:val="Compact"/>
            </w:pPr>
            <w:r>
              <w:t xml:space="preserve">Breadth, sustainability, inventory normalization, geographic detail</w:t>
            </w:r>
          </w:p>
        </w:tc>
      </w:tr>
      <w:tr>
        <w:tc>
          <w:tcPr/>
          <w:p>
            <w:pPr>
              <w:pStyle w:val="Compact"/>
            </w:pPr>
            <w:r>
              <w:rPr>
                <w:b/>
                <w:bCs/>
              </w:rPr>
              <w:t xml:space="preserve">Data center</w:t>
            </w:r>
          </w:p>
        </w:tc>
        <w:tc>
          <w:tcPr/>
          <w:p>
            <w:pPr>
              <w:pStyle w:val="Compact"/>
            </w:pPr>
            <w:r>
              <w:t xml:space="preserve">~90% YoY; &gt;25% QoQ</w:t>
            </w:r>
          </w:p>
        </w:tc>
        <w:tc>
          <w:tcPr/>
          <w:p>
            <w:pPr>
              <w:pStyle w:val="Compact"/>
            </w:pPr>
            <w:r>
              <w:t xml:space="preserve">Power-content gains, design-win momentum, duration of AI infrastructure demand</w:t>
            </w:r>
          </w:p>
        </w:tc>
      </w:tr>
      <w:tr>
        <w:tc>
          <w:tcPr/>
          <w:p>
            <w:pPr>
              <w:pStyle w:val="Compact"/>
            </w:pPr>
            <w:r>
              <w:rPr>
                <w:b/>
                <w:bCs/>
              </w:rPr>
              <w:t xml:space="preserve">Automotive</w:t>
            </w:r>
          </w:p>
        </w:tc>
        <w:tc>
          <w:tcPr/>
          <w:p>
            <w:pPr>
              <w:pStyle w:val="Compact"/>
            </w:pPr>
            <w:r>
              <w:t xml:space="preserve">Mid-single-digit YoY; roughly flat QoQ</w:t>
            </w:r>
          </w:p>
        </w:tc>
        <w:tc>
          <w:tcPr/>
          <w:p>
            <w:pPr>
              <w:pStyle w:val="Compact"/>
            </w:pPr>
            <w:r>
              <w:t xml:space="preserve">China trends and whether automotive resumes growth from elevated levels</w:t>
            </w:r>
          </w:p>
        </w:tc>
      </w:tr>
      <w:tr>
        <w:tc>
          <w:tcPr/>
          <w:p>
            <w:pPr>
              <w:pStyle w:val="Compact"/>
            </w:pPr>
            <w:r>
              <w:rPr>
                <w:b/>
                <w:bCs/>
              </w:rPr>
              <w:t xml:space="preserve">Personal electronics</w:t>
            </w:r>
          </w:p>
        </w:tc>
        <w:tc>
          <w:tcPr/>
          <w:p>
            <w:pPr>
              <w:pStyle w:val="Compact"/>
            </w:pPr>
            <w:r>
              <w:t xml:space="preserve">Flat YoY; low-single-digit QoQ growth</w:t>
            </w:r>
          </w:p>
        </w:tc>
        <w:tc>
          <w:tcPr/>
          <w:p>
            <w:pPr>
              <w:pStyle w:val="Compact"/>
            </w:pPr>
            <w:r>
              <w:t xml:space="preserve">Any memory-cost or consumer-demand disruption</w:t>
            </w:r>
          </w:p>
        </w:tc>
      </w:tr>
      <w:tr>
        <w:tc>
          <w:tcPr/>
          <w:p>
            <w:pPr>
              <w:pStyle w:val="Compact"/>
            </w:pPr>
            <w:r>
              <w:rPr>
                <w:b/>
                <w:bCs/>
              </w:rPr>
              <w:t xml:space="preserve">Communications equipment</w:t>
            </w:r>
          </w:p>
        </w:tc>
        <w:tc>
          <w:tcPr/>
          <w:p>
            <w:pPr>
              <w:pStyle w:val="Compact"/>
            </w:pPr>
            <w:r>
              <w:t xml:space="preserve">~25% YoY; &gt;30% QoQ</w:t>
            </w:r>
          </w:p>
        </w:tc>
        <w:tc>
          <w:tcPr/>
          <w:p>
            <w:pPr>
              <w:pStyle w:val="Compact"/>
            </w:pPr>
            <w:r>
              <w:t xml:space="preserve">Whether this remains a contributor rather than a short-term rebound</w:t>
            </w:r>
          </w:p>
        </w:tc>
      </w:tr>
    </w:tbl>
    <w:p>
      <w:pPr>
        <w:pStyle w:val="BodyText"/>
      </w:pPr>
      <w:r>
        <w:t xml:space="preserve">Automotive is the swing factor within the legacy cyclical portfolio. It remained near peak levels in Q1 but was weaker in China and flat sequentially overall. A resumption of automotive growth would broaden the recovery; further weakness would reinforce the view that industrial and data center are doing most of the work.</w:t>
      </w:r>
    </w:p>
    <w:bookmarkEnd w:id="17"/>
    <w:bookmarkStart w:id="18" w:name="X7faa33c952fa9899d20991343000592ce7e8546"/>
    <w:p>
      <w:pPr>
        <w:pStyle w:val="Heading2"/>
      </w:pPr>
      <w:r>
        <w:t xml:space="preserve">Margin, pricing, and inventory: the quality-of-earnings debate</w:t>
      </w:r>
    </w:p>
    <w:p>
      <w:pPr>
        <w:pStyle w:val="FirstParagraph"/>
      </w:pPr>
      <w:r>
        <w:t xml:space="preserve">TXN reported a</w:t>
      </w:r>
      <w:r>
        <w:t xml:space="preserve"> </w:t>
      </w:r>
      <w:r>
        <w:rPr>
          <w:b/>
          <w:bCs/>
        </w:rPr>
        <w:t xml:space="preserve">58.0% gross margin</w:t>
      </w:r>
      <w:r>
        <w:t xml:space="preserve"> </w:t>
      </w:r>
      <w:r>
        <w:t xml:space="preserve">in Q1, up 210 basis points sequentially. Management indicated that long-term incremental fall-through should be in the</w:t>
      </w:r>
      <w:r>
        <w:t xml:space="preserve"> </w:t>
      </w:r>
      <w:r>
        <w:rPr>
          <w:b/>
          <w:bCs/>
        </w:rPr>
        <w:t xml:space="preserve">75%–85%</w:t>
      </w:r>
      <w:r>
        <w:t xml:space="preserve"> </w:t>
      </w:r>
      <w:r>
        <w:t xml:space="preserve">range excluding depreciation, though near-term margins are affected by rising depreciation, fab loading, and acquisition-related costs. Q2 consensus implies gross margin near 59.6%.</w:t>
      </w:r>
    </w:p>
    <w:p>
      <w:pPr>
        <w:pStyle w:val="BodyText"/>
      </w:pPr>
      <w:r>
        <w:t xml:space="preserve">Pricing is an important upside variable. TI said Q1 pricing was stable rather than declining as it normally does at the start of the year. Management suggested that stronger industry demand could support price increases in the second half, but it wanted confirmation that demand was sustainable before acting. Evidence of actual pricing traction—or a more assertive tone on customer negotiations—would be a positive surprise.</w:t>
      </w:r>
    </w:p>
    <w:p>
      <w:pPr>
        <w:pStyle w:val="BodyText"/>
      </w:pPr>
      <w:r>
        <w:t xml:space="preserve">Inventory is the offset. Q1 inventory was</w:t>
      </w:r>
      <w:r>
        <w:t xml:space="preserve"> </w:t>
      </w:r>
      <w:r>
        <w:rPr>
          <w:b/>
          <w:bCs/>
        </w:rPr>
        <w:t xml:space="preserve">$4.70 billion</w:t>
      </w:r>
      <w:r>
        <w:t xml:space="preserve">, or</w:t>
      </w:r>
      <w:r>
        <w:t xml:space="preserve"> </w:t>
      </w:r>
      <w:r>
        <w:rPr>
          <w:b/>
          <w:bCs/>
        </w:rPr>
        <w:t xml:space="preserve">209 days</w:t>
      </w:r>
      <w:r>
        <w:t xml:space="preserve">, down 13 days sequentially. Management views 150–250 days as its normal operating range and expects days to trend toward the lower end during a genuine upturn. Inventory drawdown would support revenue responsiveness and cash conversion, but investors will also want to know whether production starts and fab loadings are rising enough to avoid future supply constraints.</w:t>
      </w:r>
    </w:p>
    <w:bookmarkEnd w:id="18"/>
    <w:bookmarkStart w:id="19" w:name="X345d17398b793a1c43f58929ec0dcd5d8e0f05e"/>
    <w:p>
      <w:pPr>
        <w:pStyle w:val="Heading2"/>
      </w:pPr>
      <w:r>
        <w:t xml:space="preserve">Free cash flow: improving, but separate operating improvement from government incentives</w:t>
      </w:r>
    </w:p>
    <w:p>
      <w:pPr>
        <w:pStyle w:val="FirstParagraph"/>
      </w:pPr>
      <w:r>
        <w:t xml:space="preserve">Free cash flow has become a more meaningful support to the TXN thesis as revenue recovers and capital expenditures moderate. In Q1, trailing-12-month free cash flow was</w:t>
      </w:r>
      <w:r>
        <w:t xml:space="preserve"> </w:t>
      </w:r>
      <w:r>
        <w:rPr>
          <w:b/>
          <w:bCs/>
        </w:rPr>
        <w:t xml:space="preserve">$4.35 billion</w:t>
      </w:r>
      <w:r>
        <w:t xml:space="preserve">, versus</w:t>
      </w:r>
      <w:r>
        <w:t xml:space="preserve"> </w:t>
      </w:r>
      <m:oMath>
        <m:r>
          <m:t>1.72</m:t>
        </m:r>
        <m:r>
          <m:t>b</m:t>
        </m:r>
        <m:r>
          <m:t>i</m:t>
        </m:r>
        <m:r>
          <m:t>l</m:t>
        </m:r>
        <m:r>
          <m:t>l</m:t>
        </m:r>
        <m:r>
          <m:t>i</m:t>
        </m:r>
        <m:r>
          <m:t>o</m:t>
        </m:r>
        <m:r>
          <m:t>n</m:t>
        </m:r>
        <m:r>
          <m:t>a</m:t>
        </m:r>
        <m:r>
          <m:t>y</m:t>
        </m:r>
        <m:r>
          <m:t>e</m:t>
        </m:r>
        <m:r>
          <m:t>a</m:t>
        </m:r>
        <m:r>
          <m:t>r</m:t>
        </m:r>
        <m:r>
          <m:t>e</m:t>
        </m:r>
        <m:r>
          <m:t>a</m:t>
        </m:r>
        <m:r>
          <m:t>r</m:t>
        </m:r>
        <m:r>
          <m:t>l</m:t>
        </m:r>
        <m:r>
          <m:t>i</m:t>
        </m:r>
        <m:r>
          <m:t>e</m:t>
        </m:r>
        <m:r>
          <m:t>r</m:t>
        </m:r>
        <m:r>
          <m:rPr>
            <m:sty m:val="p"/>
          </m:rPr>
          <m:t>,</m:t>
        </m:r>
        <m:r>
          <m:t>a</m:t>
        </m:r>
        <m:r>
          <m:t>i</m:t>
        </m:r>
        <m:r>
          <m:t>d</m:t>
        </m:r>
        <m:r>
          <m:t>e</m:t>
        </m:r>
        <m:r>
          <m:t>d</m:t>
        </m:r>
        <m:r>
          <m:t>b</m:t>
        </m:r>
        <m:r>
          <m:t>y</m:t>
        </m:r>
        <m:r>
          <m:t>i</m:t>
        </m:r>
        <m:r>
          <m:t>m</m:t>
        </m:r>
        <m:r>
          <m:t>p</m:t>
        </m:r>
        <m:r>
          <m:t>r</m:t>
        </m:r>
        <m:r>
          <m:t>o</m:t>
        </m:r>
        <m:r>
          <m:t>v</m:t>
        </m:r>
        <m:r>
          <m:t>i</m:t>
        </m:r>
        <m:r>
          <m:t>n</m:t>
        </m:r>
        <m:r>
          <m:t>g</m:t>
        </m:r>
        <m:r>
          <m:t>o</m:t>
        </m:r>
        <m:r>
          <m:t>p</m:t>
        </m:r>
        <m:r>
          <m:t>e</m:t>
        </m:r>
        <m:r>
          <m:t>r</m:t>
        </m:r>
        <m:r>
          <m:t>a</m:t>
        </m:r>
        <m:r>
          <m:t>t</m:t>
        </m:r>
        <m:r>
          <m:t>i</m:t>
        </m:r>
        <m:r>
          <m:t>o</m:t>
        </m:r>
        <m:r>
          <m:t>n</m:t>
        </m:r>
        <m:r>
          <m:t>s</m:t>
        </m:r>
        <m:r>
          <m:t>a</m:t>
        </m:r>
        <m:r>
          <m:t>n</m:t>
        </m:r>
        <m:r>
          <m:t>d</m:t>
        </m:r>
        <m:r>
          <m:t>C</m:t>
        </m:r>
        <m:r>
          <m:t>H</m:t>
        </m:r>
        <m:r>
          <m:t>I</m:t>
        </m:r>
        <m:r>
          <m:t>P</m:t>
        </m:r>
        <m:r>
          <m:t>S</m:t>
        </m:r>
        <m:r>
          <m:t>A</m:t>
        </m:r>
        <m:r>
          <m:t>c</m:t>
        </m:r>
        <m:r>
          <m:t>t</m:t>
        </m:r>
        <m:r>
          <m:t>s</m:t>
        </m:r>
        <m:r>
          <m:t>u</m:t>
        </m:r>
        <m:r>
          <m:t>p</m:t>
        </m:r>
        <m:r>
          <m:t>p</m:t>
        </m:r>
        <m:r>
          <m:t>o</m:t>
        </m:r>
        <m:r>
          <m:t>r</m:t>
        </m:r>
        <m:r>
          <m:t>t</m:t>
        </m:r>
        <m:r>
          <m:rPr>
            <m:sty m:val="p"/>
          </m:rPr>
          <m:t>.</m:t>
        </m:r>
        <m:r>
          <m:t>T</m:t>
        </m:r>
        <m:r>
          <m:t>I</m:t>
        </m:r>
        <m:r>
          <m:t>r</m:t>
        </m:r>
        <m:r>
          <m:t>e</m:t>
        </m:r>
        <m:r>
          <m:t>c</m:t>
        </m:r>
        <m:r>
          <m:t>e</m:t>
        </m:r>
        <m:r>
          <m:t>i</m:t>
        </m:r>
        <m:r>
          <m:t>v</m:t>
        </m:r>
        <m:r>
          <m:t>e</m:t>
        </m:r>
        <m:r>
          <m:t>d</m:t>
        </m:r>
        <m:r>
          <m:rPr>
            <m:sty m:val="p"/>
          </m:rPr>
          <m:t>*</m:t>
        </m:r>
        <m:r>
          <m:rPr>
            <m:sty m:val="p"/>
          </m:rPr>
          <m:t>*</m:t>
        </m:r>
      </m:oMath>
      <w:r>
        <w:t xml:space="preserve">555 million** in direct CHIPS Act funding during Q1. (</w:t>
      </w:r>
      <w:hyperlink r:id="rId11">
        <w:r>
          <w:rPr>
            <w:rStyle w:val="Hyperlink"/>
          </w:rPr>
          <w:t xml:space="preserve">investor.ti.com</w:t>
        </w:r>
      </w:hyperlink>
      <w:r>
        <w:t xml:space="preserve">)</w:t>
      </w:r>
    </w:p>
    <w:p>
      <w:pPr>
        <w:pStyle w:val="BodyText"/>
      </w:pPr>
      <w:r>
        <w:t xml:space="preserve">Investors should focus on:</w:t>
      </w:r>
    </w:p>
    <w:p>
      <w:pPr>
        <w:pStyle w:val="Compact"/>
        <w:numPr>
          <w:ilvl w:val="0"/>
          <w:numId w:val="1003"/>
        </w:numPr>
      </w:pPr>
      <w:r>
        <w:rPr>
          <w:b/>
          <w:bCs/>
        </w:rPr>
        <w:t xml:space="preserve">Operating cash flow before incentives</w:t>
      </w:r>
      <w:r>
        <w:t xml:space="preserve"> </w:t>
      </w:r>
      <w:r>
        <w:t xml:space="preserve">and working-capital movements.</w:t>
      </w:r>
    </w:p>
    <w:p>
      <w:pPr>
        <w:pStyle w:val="Compact"/>
        <w:numPr>
          <w:ilvl w:val="0"/>
          <w:numId w:val="1003"/>
        </w:numPr>
      </w:pPr>
      <w:r>
        <w:rPr>
          <w:b/>
          <w:bCs/>
        </w:rPr>
        <w:t xml:space="preserve">Capital spending discipline:</w:t>
      </w:r>
      <w:r>
        <w:t xml:space="preserve"> </w:t>
      </w:r>
      <w:r>
        <w:t xml:space="preserve">management reaffirmed 2026 CapEx of</w:t>
      </w:r>
      <w:r>
        <w:t xml:space="preserve"> </w:t>
      </w:r>
      <m:oMath>
        <m:r>
          <m:t>2</m:t>
        </m:r>
        <m:r>
          <m:t>b</m:t>
        </m:r>
        <m:r>
          <m:t>i</m:t>
        </m:r>
        <m:r>
          <m:t>l</m:t>
        </m:r>
        <m:r>
          <m:t>l</m:t>
        </m:r>
        <m:r>
          <m:t>i</m:t>
        </m:r>
        <m:r>
          <m:t>o</m:t>
        </m:r>
        <m:r>
          <m:t>n</m:t>
        </m:r>
        <m:r>
          <m:rPr>
            <m:sty m:val="p"/>
          </m:rPr>
          <m:t>–</m:t>
        </m:r>
      </m:oMath>
      <w:r>
        <w:t xml:space="preserve">3 billion.</w:t>
      </w:r>
    </w:p>
    <w:p>
      <w:pPr>
        <w:pStyle w:val="Compact"/>
        <w:numPr>
          <w:ilvl w:val="0"/>
          <w:numId w:val="1003"/>
        </w:numPr>
      </w:pPr>
      <w:r>
        <w:rPr>
          <w:b/>
          <w:bCs/>
        </w:rPr>
        <w:t xml:space="preserve">Depreciation pressure:</w:t>
      </w:r>
      <w:r>
        <w:t xml:space="preserve"> </w:t>
      </w:r>
      <w:r>
        <w:t xml:space="preserve">2026 depreciation was expected at</w:t>
      </w:r>
      <w:r>
        <w:t xml:space="preserve"> </w:t>
      </w:r>
      <m:oMath>
        <m:r>
          <m:t>2.2</m:t>
        </m:r>
        <m:r>
          <m:t>b</m:t>
        </m:r>
        <m:r>
          <m:t>i</m:t>
        </m:r>
        <m:r>
          <m:t>l</m:t>
        </m:r>
        <m:r>
          <m:t>l</m:t>
        </m:r>
        <m:r>
          <m:t>i</m:t>
        </m:r>
        <m:r>
          <m:t>o</m:t>
        </m:r>
        <m:r>
          <m:t>n</m:t>
        </m:r>
        <m:r>
          <m:rPr>
            <m:sty m:val="p"/>
          </m:rPr>
          <m:t>–</m:t>
        </m:r>
      </m:oMath>
      <w:r>
        <w:t xml:space="preserve">2.4 billion, a headwind to reported gross margin even as the manufacturing build-out supports long-term cost advantages.</w:t>
      </w:r>
    </w:p>
    <w:p>
      <w:pPr>
        <w:pStyle w:val="Compact"/>
        <w:numPr>
          <w:ilvl w:val="0"/>
          <w:numId w:val="1003"/>
        </w:numPr>
      </w:pPr>
      <w:r>
        <w:rPr>
          <w:b/>
          <w:bCs/>
        </w:rPr>
        <w:t xml:space="preserve">Capital returns:</w:t>
      </w:r>
      <w:r>
        <w:t xml:space="preserve"> </w:t>
      </w:r>
      <w:r>
        <w:t xml:space="preserve">dividends remain the dominant near-term return mechanism, while repurchases have been relatively subdued.</w:t>
      </w:r>
    </w:p>
    <w:p>
      <w:pPr>
        <w:pStyle w:val="FirstParagraph"/>
      </w:pPr>
      <w:r>
        <w:t xml:space="preserve">The best outcome is a report that shows cash flow improving from higher earnings and inventory turns—not solely from incentive receipts.</w:t>
      </w:r>
    </w:p>
    <w:bookmarkEnd w:id="19"/>
    <w:bookmarkStart w:id="21" w:name="X68677c282a54bd09a8d2b1127da0c029bddfa5a"/>
    <w:p>
      <w:pPr>
        <w:pStyle w:val="Heading2"/>
      </w:pPr>
      <w:r>
        <w:t xml:space="preserve">Silicon Labs and CFO transition: secondary, but worth monitoring</w:t>
      </w:r>
    </w:p>
    <w:p>
      <w:pPr>
        <w:pStyle w:val="FirstParagraph"/>
      </w:pPr>
      <w:r>
        <w:t xml:space="preserve">Two corporate items may arise during the call:</w:t>
      </w:r>
    </w:p>
    <w:p>
      <w:pPr>
        <w:pStyle w:val="Compact"/>
        <w:numPr>
          <w:ilvl w:val="0"/>
          <w:numId w:val="1004"/>
        </w:numPr>
      </w:pPr>
      <w:r>
        <w:rPr>
          <w:b/>
          <w:bCs/>
        </w:rPr>
        <w:t xml:space="preserve">Silicon Labs acquisition:</w:t>
      </w:r>
      <w:r>
        <w:t xml:space="preserve"> </w:t>
      </w:r>
      <w:r>
        <w:t xml:space="preserve">TI agreed to buy Silicon Labs for approximately</w:t>
      </w:r>
      <w:r>
        <w:t xml:space="preserve"> </w:t>
      </w:r>
      <m:oMath>
        <m:r>
          <m:t>7.5</m:t>
        </m:r>
        <m:r>
          <m:t>b</m:t>
        </m:r>
        <m:r>
          <m:t>i</m:t>
        </m:r>
        <m:r>
          <m:t>l</m:t>
        </m:r>
        <m:r>
          <m:t>l</m:t>
        </m:r>
        <m:r>
          <m:t>i</m:t>
        </m:r>
        <m:r>
          <m:t>o</m:t>
        </m:r>
        <m:r>
          <m:t>n</m:t>
        </m:r>
        <m:r>
          <m:t>e</m:t>
        </m:r>
        <m:r>
          <m:t>n</m:t>
        </m:r>
        <m:r>
          <m:t>t</m:t>
        </m:r>
        <m:r>
          <m:t>e</m:t>
        </m:r>
        <m:r>
          <m:t>r</m:t>
        </m:r>
        <m:r>
          <m:t>p</m:t>
        </m:r>
        <m:r>
          <m:t>r</m:t>
        </m:r>
        <m:r>
          <m:t>i</m:t>
        </m:r>
        <m:r>
          <m:t>s</m:t>
        </m:r>
        <m:r>
          <m:t>e</m:t>
        </m:r>
        <m:r>
          <m:t>v</m:t>
        </m:r>
        <m:r>
          <m:t>a</m:t>
        </m:r>
        <m:r>
          <m:t>l</m:t>
        </m:r>
        <m:r>
          <m:t>u</m:t>
        </m:r>
        <m:r>
          <m:t>e</m:t>
        </m:r>
        <m:r>
          <m:rPr>
            <m:sty m:val="p"/>
          </m:rPr>
          <m:t>*</m:t>
        </m:r>
        <m:r>
          <m:rPr>
            <m:sty m:val="p"/>
          </m:rPr>
          <m:t>*</m:t>
        </m:r>
        <m:r>
          <m:rPr>
            <m:sty m:val="p"/>
          </m:rPr>
          <m:t>,</m:t>
        </m:r>
        <m:r>
          <m:t>e</m:t>
        </m:r>
        <m:r>
          <m:t>x</m:t>
        </m:r>
        <m:r>
          <m:t>p</m:t>
        </m:r>
        <m:r>
          <m:t>e</m:t>
        </m:r>
        <m:r>
          <m:t>c</m:t>
        </m:r>
        <m:r>
          <m:t>t</m:t>
        </m:r>
        <m:r>
          <m:t>s</m:t>
        </m:r>
        <m:r>
          <m:t>r</m:t>
        </m:r>
        <m:r>
          <m:t>o</m:t>
        </m:r>
        <m:r>
          <m:t>u</m:t>
        </m:r>
        <m:r>
          <m:t>g</m:t>
        </m:r>
        <m:r>
          <m:t>h</m:t>
        </m:r>
        <m:r>
          <m:t>l</m:t>
        </m:r>
        <m:r>
          <m:t>y</m:t>
        </m:r>
        <m:r>
          <m:rPr>
            <m:sty m:val="p"/>
          </m:rPr>
          <m:t>*</m:t>
        </m:r>
        <m:r>
          <m:rPr>
            <m:sty m:val="p"/>
          </m:rPr>
          <m:t>*</m:t>
        </m:r>
      </m:oMath>
      <w:r>
        <w:rPr>
          <w:b/>
          <w:bCs/>
        </w:rPr>
        <w:t xml:space="preserve">450 million of annual manufacturing and operational synergies within three years of closing</w:t>
      </w:r>
      <w:r>
        <w:t xml:space="preserve">, and targets closing in the first half of 2027, subject to approvals. Investors may seek updates on regulatory timing, financing, expected integration costs, and the path to accretion. (</w:t>
      </w:r>
      <w:hyperlink r:id="rId20">
        <w:r>
          <w:rPr>
            <w:rStyle w:val="Hyperlink"/>
          </w:rPr>
          <w:t xml:space="preserve">investor.ti.com</w:t>
        </w:r>
      </w:hyperlink>
      <w:r>
        <w:t xml:space="preserve">)</w:t>
      </w:r>
    </w:p>
    <w:p>
      <w:pPr>
        <w:pStyle w:val="Compact"/>
        <w:numPr>
          <w:ilvl w:val="0"/>
          <w:numId w:val="1004"/>
        </w:numPr>
      </w:pPr>
      <w:r>
        <w:rPr>
          <w:b/>
          <w:bCs/>
        </w:rPr>
        <w:t xml:space="preserve">CFO succession:</w:t>
      </w:r>
      <w:r>
        <w:t xml:space="preserve"> </w:t>
      </w:r>
      <w:r>
        <w:t xml:space="preserve">Rafael Lizardi is scheduled to retire, with Julie Knecht becoming CFO effective</w:t>
      </w:r>
      <w:r>
        <w:t xml:space="preserve"> </w:t>
      </w:r>
      <w:r>
        <w:rPr>
          <w:b/>
          <w:bCs/>
        </w:rPr>
        <w:t xml:space="preserve">August 1, 2026</w:t>
      </w:r>
      <w:r>
        <w:t xml:space="preserve">. This may be Lizardi’s final earnings call as CFO, so investors may listen closely for continuity in the capital-allocation framework and long-term free-cash-flow targets. (</w:t>
      </w:r>
      <w:hyperlink r:id="rId20">
        <w:r>
          <w:rPr>
            <w:rStyle w:val="Hyperlink"/>
          </w:rPr>
          <w:t xml:space="preserve">investor.ti.com</w:t>
        </w:r>
      </w:hyperlink>
      <w:r>
        <w:t xml:space="preserve">)</w:t>
      </w:r>
    </w:p>
    <w:bookmarkEnd w:id="21"/>
    <w:bookmarkStart w:id="22" w:name="stock-setup"/>
    <w:p>
      <w:pPr>
        <w:pStyle w:val="Heading2"/>
      </w:pPr>
      <w:r>
        <w:t xml:space="preserve">Stock setup</w:t>
      </w:r>
    </w:p>
    <w:p>
      <w:pPr>
        <w:pStyle w:val="FirstParagraph"/>
      </w:pPr>
      <w:r>
        <w:t xml:space="preserve">TXN closed at</w:t>
      </w:r>
      <w:r>
        <w:t xml:space="preserve"> </w:t>
      </w:r>
      <w:r>
        <w:rPr>
          <w:b/>
          <w:bCs/>
        </w:rPr>
        <w:t xml:space="preserve">$291.34 on July 21</w:t>
      </w:r>
      <w:r>
        <w:t xml:space="preserve">, up roughly</w:t>
      </w:r>
      <w:r>
        <w:t xml:space="preserve"> </w:t>
      </w:r>
      <w:r>
        <w:rPr>
          <w:b/>
          <w:bCs/>
        </w:rPr>
        <w:t xml:space="preserve">25%</w:t>
      </w:r>
      <w:r>
        <w:t xml:space="preserve"> </w:t>
      </w:r>
      <w:r>
        <w:t xml:space="preserve">from $233.15 immediately before its Q1 report, but about</w:t>
      </w:r>
      <w:r>
        <w:t xml:space="preserve"> </w:t>
      </w:r>
      <w:r>
        <w:rPr>
          <w:b/>
          <w:bCs/>
        </w:rPr>
        <w:t xml:space="preserve">12% below</w:t>
      </w:r>
      <w:r>
        <w:t xml:space="preserve"> </w:t>
      </w:r>
      <w:r>
        <w:t xml:space="preserve">its June 22 closing high of $332.28. Over the same April 21–July 21 window, SOXX rose about 31%, so TXN has participated in the semiconductor recovery but modestly lagged the broader chip ETF.</w:t>
      </w:r>
    </w:p>
    <w:p>
      <w:pPr>
        <w:pStyle w:val="BodyText"/>
      </w:pPr>
      <w:r>
        <w:t xml:space="preserve">The April report generated a sharp positive reaction after TXN exceeded guidance and delivered a stronger-than-expected outlook. That history, along with consensus estimates sitting near the guide midpoint, suggests a higher threshold this time: investors likely want validation of the second-half trajectory, not just a Q2 beat.</w:t>
      </w:r>
    </w:p>
    <w:bookmarkEnd w:id="22"/>
    <w:bookmarkStart w:id="26" w:name="bull--base--bear-framing"/>
    <w:p>
      <w:pPr>
        <w:pStyle w:val="Heading2"/>
      </w:pPr>
      <w:r>
        <w:t xml:space="preserve">Bull / base / bear framing</w:t>
      </w:r>
    </w:p>
    <w:bookmarkStart w:id="23" w:name="bull-case"/>
    <w:p>
      <w:pPr>
        <w:pStyle w:val="Heading3"/>
      </w:pPr>
      <w:r>
        <w:t xml:space="preserve">Bull case</w:t>
      </w:r>
    </w:p>
    <w:p>
      <w:pPr>
        <w:pStyle w:val="Compact"/>
        <w:numPr>
          <w:ilvl w:val="0"/>
          <w:numId w:val="1005"/>
        </w:numPr>
      </w:pPr>
      <w:r>
        <w:t xml:space="preserve">Revenue and EPS above the high end or meaningfully above consensus.</w:t>
      </w:r>
    </w:p>
    <w:p>
      <w:pPr>
        <w:pStyle w:val="Compact"/>
        <w:numPr>
          <w:ilvl w:val="0"/>
          <w:numId w:val="1005"/>
        </w:numPr>
      </w:pPr>
      <w:r>
        <w:t xml:space="preserve">Industrial growth remains broad and durable.</w:t>
      </w:r>
    </w:p>
    <w:p>
      <w:pPr>
        <w:pStyle w:val="Compact"/>
        <w:numPr>
          <w:ilvl w:val="0"/>
          <w:numId w:val="1005"/>
        </w:numPr>
      </w:pPr>
      <w:r>
        <w:t xml:space="preserve">Data center remains a major growth engine.</w:t>
      </w:r>
    </w:p>
    <w:p>
      <w:pPr>
        <w:pStyle w:val="Compact"/>
        <w:numPr>
          <w:ilvl w:val="0"/>
          <w:numId w:val="1005"/>
        </w:numPr>
      </w:pPr>
      <w:r>
        <w:t xml:space="preserve">Automotive improves sequentially.</w:t>
      </w:r>
    </w:p>
    <w:p>
      <w:pPr>
        <w:pStyle w:val="Compact"/>
        <w:numPr>
          <w:ilvl w:val="0"/>
          <w:numId w:val="1005"/>
        </w:numPr>
      </w:pPr>
      <w:r>
        <w:t xml:space="preserve">Gross margin reaches or exceeds ~60%.</w:t>
      </w:r>
    </w:p>
    <w:p>
      <w:pPr>
        <w:pStyle w:val="Compact"/>
        <w:numPr>
          <w:ilvl w:val="0"/>
          <w:numId w:val="1005"/>
        </w:numPr>
      </w:pPr>
      <w:r>
        <w:t xml:space="preserve">Q3 guide supports continued above-seasonal growth, with firmer commentary on pricing and inventory drawdown.</w:t>
      </w:r>
    </w:p>
    <w:bookmarkEnd w:id="23"/>
    <w:bookmarkStart w:id="24" w:name="base-case"/>
    <w:p>
      <w:pPr>
        <w:pStyle w:val="Heading3"/>
      </w:pPr>
      <w:r>
        <w:t xml:space="preserve">Base case</w:t>
      </w:r>
    </w:p>
    <w:p>
      <w:pPr>
        <w:pStyle w:val="Compact"/>
        <w:numPr>
          <w:ilvl w:val="0"/>
          <w:numId w:val="1006"/>
        </w:numPr>
      </w:pPr>
      <w:r>
        <w:t xml:space="preserve">Results near the upper half of the guided range.</w:t>
      </w:r>
    </w:p>
    <w:p>
      <w:pPr>
        <w:pStyle w:val="Compact"/>
        <w:numPr>
          <w:ilvl w:val="0"/>
          <w:numId w:val="1006"/>
        </w:numPr>
      </w:pPr>
      <w:r>
        <w:t xml:space="preserve">Industrial and data center remain healthy, but management retains a measured stance on 2H demand.</w:t>
      </w:r>
    </w:p>
    <w:p>
      <w:pPr>
        <w:pStyle w:val="Compact"/>
        <w:numPr>
          <w:ilvl w:val="0"/>
          <w:numId w:val="1006"/>
        </w:numPr>
      </w:pPr>
      <w:r>
        <w:t xml:space="preserve">Q3 outlook is constructive but not decisive.</w:t>
      </w:r>
    </w:p>
    <w:p>
      <w:pPr>
        <w:pStyle w:val="Compact"/>
        <w:numPr>
          <w:ilvl w:val="0"/>
          <w:numId w:val="1006"/>
        </w:numPr>
      </w:pPr>
      <w:r>
        <w:t xml:space="preserve">Margin and free cash flow improve in line with expectations.</w:t>
      </w:r>
    </w:p>
    <w:bookmarkEnd w:id="24"/>
    <w:bookmarkStart w:id="25" w:name="bear-case"/>
    <w:p>
      <w:pPr>
        <w:pStyle w:val="Heading3"/>
      </w:pPr>
      <w:r>
        <w:t xml:space="preserve">Bear case</w:t>
      </w:r>
    </w:p>
    <w:p>
      <w:pPr>
        <w:pStyle w:val="Compact"/>
        <w:numPr>
          <w:ilvl w:val="0"/>
          <w:numId w:val="1007"/>
        </w:numPr>
      </w:pPr>
      <w:r>
        <w:t xml:space="preserve">Results meet expectations, but Q3 guidance is cautious.</w:t>
      </w:r>
    </w:p>
    <w:p>
      <w:pPr>
        <w:pStyle w:val="Compact"/>
        <w:numPr>
          <w:ilvl w:val="0"/>
          <w:numId w:val="1007"/>
        </w:numPr>
      </w:pPr>
      <w:r>
        <w:t xml:space="preserve">Management identifies renewed industrial order volatility, China/automotive softness, or demand pull-forward.</w:t>
      </w:r>
    </w:p>
    <w:p>
      <w:pPr>
        <w:pStyle w:val="Compact"/>
        <w:numPr>
          <w:ilvl w:val="0"/>
          <w:numId w:val="1007"/>
        </w:numPr>
      </w:pPr>
      <w:r>
        <w:t xml:space="preserve">Margin improvement lags revenue growth because of depreciation or utilization.</w:t>
      </w:r>
    </w:p>
    <w:p>
      <w:pPr>
        <w:pStyle w:val="Compact"/>
        <w:numPr>
          <w:ilvl w:val="0"/>
          <w:numId w:val="1007"/>
        </w:numPr>
      </w:pPr>
      <w:r>
        <w:t xml:space="preserve">Pricing remains only theoretical, while elevated inventory persists.</w:t>
      </w:r>
    </w:p>
    <w:bookmarkEnd w:id="25"/>
    <w:bookmarkEnd w:id="26"/>
    <w:bookmarkStart w:id="27" w:name="bottom-line"/>
    <w:p>
      <w:pPr>
        <w:pStyle w:val="Heading2"/>
      </w:pPr>
      <w:r>
        <w:t xml:space="preserve">Bottom line</w:t>
      </w:r>
    </w:p>
    <w:p>
      <w:pPr>
        <w:pStyle w:val="FirstParagraph"/>
      </w:pPr>
      <w:r>
        <w:t xml:space="preserve">TXN’s Q2 report is primarily a test of whether the company’s recovery has moved from an early-cycle rebound to a</w:t>
      </w:r>
      <w:r>
        <w:t xml:space="preserve"> </w:t>
      </w:r>
      <w:r>
        <w:rPr>
          <w:b/>
          <w:bCs/>
        </w:rPr>
        <w:t xml:space="preserve">durable, broad-based analog upturn</w:t>
      </w:r>
      <w:r>
        <w:t xml:space="preserve">. A solid Q2 print is largely expected. The greater determinant of the share reaction will be management’s confidence in Q3 and the second half—especially on industrial breadth, data-center momentum, automotive stability, margin conversion, and the pace of inventory drawdown.</w:t>
      </w:r>
    </w:p>
    <w:p>
      <w:pPr>
        <w:pStyle w:val="BodyText"/>
      </w:pPr>
      <w:r>
        <w:t xml:space="preserve">The most important line to watch is the Q3 revenue outlook. If management can show that industrial demand is holding up while data center remains strong, TXN’s long-term manufacturing and share-gain narrative should regain traction. If it remains cautious after another good quarter, investors may conclude that the recovery is real but not yet reliably self-sustaining.</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investor.ti.com/news-releases/news-release-details/texas-instruments-announces-cfo-transition" TargetMode="External" /><Relationship Type="http://schemas.openxmlformats.org/officeDocument/2006/relationships/hyperlink" Id="rId9" Target="https://investor.ti.com/news-releases/news-release-details/texas-instruments-webcast-q2-2026-earnings-conference-call?utm_source=openai" TargetMode="External" /><Relationship Type="http://schemas.openxmlformats.org/officeDocument/2006/relationships/hyperlink" Id="rId11" Target="https://investor.ti.com/news-releases/news-release-details/ti-reports-first-quarter-2026-financial-results-and-shareholder" TargetMode="External" /></Relationships>
</file>

<file path=word/_rels/footnotes.xml.rels><?xml version="1.0" encoding="UTF-8"?><Relationships xmlns="http://schemas.openxmlformats.org/package/2006/relationships"><Relationship Type="http://schemas.openxmlformats.org/officeDocument/2006/relationships/hyperlink" Id="rId20" Target="https://investor.ti.com/news-releases/news-release-details/texas-instruments-announces-cfo-transition" TargetMode="External" /><Relationship Type="http://schemas.openxmlformats.org/officeDocument/2006/relationships/hyperlink" Id="rId9" Target="https://investor.ti.com/news-releases/news-release-details/texas-instruments-webcast-q2-2026-earnings-conference-call?utm_source=openai" TargetMode="External" /><Relationship Type="http://schemas.openxmlformats.org/officeDocument/2006/relationships/hyperlink" Id="rId11" Target="https://investor.ti.com/news-releases/news-release-details/ti-reports-first-quarter-2026-financial-results-and-sharehold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2026-07-22T00:31:27Z</dcterms:created>
  <dcterms:modified xsi:type="dcterms:W3CDTF">2026-07-22T00:31:27Z</dcterms:modified>
</cp:coreProperties>
</file>

<file path=docProps/custom.xml><?xml version="1.0" encoding="utf-8"?>
<Properties xmlns="http://schemas.openxmlformats.org/officeDocument/2006/custom-properties" xmlns:vt="http://schemas.openxmlformats.org/officeDocument/2006/docPropsVTypes"/>
</file>