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xn-earnings-predictions--2026-07-22"/>
    <w:p>
      <w:pPr>
        <w:pStyle w:val="Heading1"/>
      </w:pPr>
      <w:r>
        <w:t xml:space="preserve">TXN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~$5,350M vs. cons $5,259M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- Diluted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~$2.00 vs. cons $1.95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Industrial Revenue Mix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~38.0% vs. cons 36.6%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~$5,600M midpoint vs. cons $5,626M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EPS - Diluted Operating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~$2.05 midpoint vs. cons $2.18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Pricing commentary (H2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'prices likely to go up' vs. prior baseline of flat/modest declines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FCF/share FY 2026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'well above $8' vs. cons $7.82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(STABILIZE)</w:t>
            </w:r>
          </w:p>
        </w:tc>
        <w:tc>
          <w:tcPr/>
          <w:p>
            <w:pPr>
              <w:pStyle w:val="Compact"/>
            </w:pPr>
            <w:r>
              <w:t xml:space="preserve">STABILIZE - revenue beat and qualitative raise drive initial follow-through; Q3 EPS estimate cuts partially offset as sell-side models update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2026-07-24T22:20:12Z</dcterms:created>
  <dcterms:modified xsi:type="dcterms:W3CDTF">2026-07-24T22:20:12Z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