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UDR before writing the preview. Let me gather recent earnings materials, filings, news, and price data.Let me read UDR's most recent earnings materials and pull price history and recent filings.Now let me read the Q1 2026 earnings call transcript for management commentary and forward views.Let me check for recent analyst expectations and any UDR-specific news via web search.I have enough to write the preview. Here it is:</w:t>
      </w:r>
    </w:p>
    <w:p>
      <w:r>
        <w:pict>
          <v:rect style="width:0;height:1.5pt" o:hralign="center" o:hrstd="t" o:hr="t"/>
        </w:pict>
      </w:r>
    </w:p>
    <w:bookmarkStart w:id="23" w:name="Xd9b272a95c220685676be116bbe899fabb12bdf"/>
    <w:p>
      <w:pPr>
        <w:pStyle w:val="Heading1"/>
      </w:pPr>
      <w:r>
        <w:t xml:space="preserve">UDR, Inc. (NYSE: UDR) — 2Q 2026 Earnings Preview</w:t>
      </w:r>
    </w:p>
    <w:bookmarkStart w:id="9" w:name="X09026ebcc772aec67fae71fa6c02407333d15cd"/>
    <w:p>
      <w:pPr>
        <w:pStyle w:val="Heading3"/>
      </w:pPr>
      <w:r>
        <w:t xml:space="preserve">Report expected after market close, July 27, 2026 · Conference call July 28</w:t>
      </w:r>
    </w:p>
    <w:bookmarkEnd w:id="9"/>
    <w:bookmarkStart w:id="10" w:name="the-one-line-setup"/>
    <w:p>
      <w:pPr>
        <w:pStyle w:val="Heading2"/>
      </w:pPr>
      <w:r>
        <w:t xml:space="preserve">The One-Line Setup</w:t>
      </w:r>
    </w:p>
    <w:p>
      <w:pPr>
        <w:pStyle w:val="FirstParagraph"/>
      </w:pPr>
      <w:r>
        <w:t xml:space="preserve">UDR heads into its Q2 print with the stock ~$39.60, up **~7.9% YTD** and</w:t>
      </w:r>
      <w:r>
        <w:t xml:space="preserve"> </w:t>
      </w:r>
      <w:r>
        <w:rPr>
          <w:b/>
          <w:bCs/>
        </w:rPr>
        <w:t xml:space="preserve">~17% off its late-March low</w:t>
      </w:r>
      <w:r>
        <w:t xml:space="preserve"> </w:t>
      </w:r>
      <w:r>
        <w:t xml:space="preserve">near $34, having rallied alongside the apartment group into mid-summer. The bar is modest: management guided Q2 and has told investors the year is playing out "as expected." The debate is less about the quarter itself and more about whether coastal strength is durable enough to (a) hold the full-year guide and (b) justify the capital-recycling / buyback playbook that is the real story for 2026.</w:t>
      </w:r>
    </w:p>
    <w:p>
      <w:r>
        <w:pict>
          <v:rect style="width:0;height:1.5pt" o:hralign="center" o:hrstd="t" o:hr="t"/>
        </w:pict>
      </w:r>
    </w:p>
    <w:bookmarkEnd w:id="10"/>
    <w:bookmarkStart w:id="20" w:name="what-to-watch"/>
    <w:p>
      <w:pPr>
        <w:pStyle w:val="Heading2"/>
      </w:pPr>
      <w:r>
        <w:t xml:space="preserve">What to Watch</w:t>
      </w:r>
    </w:p>
    <w:bookmarkStart w:id="11" w:name="Xecf1a062278a576e0ea3eb4c30c5561c13bdeee"/>
    <w:p>
      <w:pPr>
        <w:pStyle w:val="Heading3"/>
      </w:pPr>
      <w:r>
        <w:t xml:space="preserve">1. Q2 numbers vs. the guide</w:t>
      </w:r>
    </w:p>
    <w:p>
      <w:pPr>
        <w:pStyle w:val="FirstParagraph"/>
      </w:pPr>
      <w:r>
        <w:t xml:space="preserve">Management set clear goalposts on the Q1 call and in the release:</w:t>
      </w:r>
    </w:p>
    <w:p>
      <w:pPr>
        <w:pStyle w:val="Compact"/>
        <w:numPr>
          <w:ilvl w:val="0"/>
          <w:numId w:val="1001"/>
        </w:numPr>
      </w:pPr>
      <w:r>
        <w:t xml:space="preserve">Second quarter FFOA per share guidance range is $0.62 to $0.64, with the $0.63 midpoint representing an approximately 2% sequential increase driven by higher sequential NOI and accretion from share repurchases funded by dispositions.</w:t>
      </w:r>
    </w:p>
    <w:p>
      <w:pPr>
        <w:pStyle w:val="Compact"/>
        <w:numPr>
          <w:ilvl w:val="0"/>
          <w:numId w:val="1001"/>
        </w:numPr>
      </w:pPr>
      <w:r>
        <w:t xml:space="preserve">FFO per share is guided to the same</w:t>
      </w:r>
      <w:r>
        <w:t xml:space="preserve"> </w:t>
      </w:r>
      <m:oMath>
        <m:r>
          <m:t>0.62</m:t>
        </m:r>
        <m:r>
          <m:rPr>
            <m:sty m:val="p"/>
          </m:rPr>
          <m:t>–</m:t>
        </m:r>
      </m:oMath>
      <w:r>
        <w:t xml:space="preserve">0.64.</w:t>
      </w:r>
    </w:p>
    <w:p>
      <w:pPr>
        <w:pStyle w:val="Compact"/>
        <w:numPr>
          <w:ilvl w:val="0"/>
          <w:numId w:val="1001"/>
        </w:numPr>
      </w:pPr>
      <w:r>
        <w:t xml:space="preserve">Net income per diluted share is guided to</w:t>
      </w:r>
      <w:r>
        <w:t xml:space="preserve"> </w:t>
      </w:r>
      <m:oMath>
        <m:r>
          <m:t>0.12</m:t>
        </m:r>
        <m:r>
          <m:rPr>
            <m:sty m:val="p"/>
          </m:rPr>
          <m:t>–</m:t>
        </m:r>
      </m:oMath>
      <w:r>
        <w:t xml:space="preserve">0.14.</w:t>
      </w:r>
    </w:p>
    <w:p>
      <w:pPr>
        <w:pStyle w:val="FirstParagraph"/>
      </w:pPr>
      <w:r>
        <w:t xml:space="preserve">Given how tightly UDR frames its quarters, the more important question is whether the</w:t>
      </w:r>
      <w:r>
        <w:t xml:space="preserve"> </w:t>
      </w:r>
      <w:r>
        <w:rPr>
          <w:b/>
          <w:bCs/>
        </w:rPr>
        <w:t xml:space="preserve">full-year 2026 guide gets raised, held, or trimmed</w:t>
      </w:r>
      <w:r>
        <w:t xml:space="preserve">. Recall management deliberately kept it unchanged at Q1: "we are maintaining our full year 2026 same-store and earnings guidance, which we will reassess next quarter." Q2</w:t>
      </w:r>
      <w:r>
        <w:t xml:space="preserve"> </w:t>
      </w:r>
      <w:r>
        <w:rPr>
          <w:i/>
          <w:iCs/>
        </w:rPr>
        <w:t xml:space="preserve">is</w:t>
      </w:r>
      <w:r>
        <w:t xml:space="preserve"> </w:t>
      </w:r>
      <w:r>
        <w:t xml:space="preserve">that "next quarter," so any revision is the headline event. Current full-year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FY26 metric</w:t>
            </w:r>
          </w:p>
        </w:tc>
        <w:tc>
          <w:tcPr/>
          <w:p>
            <w:pPr>
              <w:pStyle w:val="Compact"/>
            </w:pPr>
            <w:r>
              <w:t xml:space="preserve">Guidance range</w:t>
            </w:r>
          </w:p>
        </w:tc>
        <w:tc>
          <w:tcPr/>
          <w:p>
            <w:pPr>
              <w:pStyle w:val="Compact"/>
            </w:pPr>
            <w:r>
              <w:t xml:space="preserve">Midpoint</w:t>
            </w:r>
          </w:p>
        </w:tc>
      </w:tr>
      <w:tr>
        <w:tc>
          <w:tcPr/>
          <w:p>
            <w:pPr>
              <w:pStyle w:val="Compact"/>
            </w:pPr>
            <w:r>
              <w:t xml:space="preserve">FFOA / share</w:t>
            </w:r>
          </w:p>
        </w:tc>
        <w:tc>
          <w:tcPr/>
          <w:p>
            <w:pPr>
              <w:pStyle w:val="Compact"/>
            </w:pPr>
            <w:r>
              <w:t xml:space="preserve">$2.47 – $2.57</w:t>
            </w:r>
          </w:p>
        </w:tc>
        <w:tc>
          <w:tcPr/>
          <w:p>
            <w:pPr>
              <w:pStyle w:val="Compact"/>
            </w:pPr>
            <w:r>
              <w:t xml:space="preserve">$2.52</w:t>
            </w:r>
          </w:p>
        </w:tc>
      </w:tr>
      <w:tr>
        <w:tc>
          <w:tcPr/>
          <w:p>
            <w:pPr>
              <w:pStyle w:val="Compact"/>
            </w:pPr>
            <w:r>
              <w:t xml:space="preserve">SS Revenue growth</w:t>
            </w:r>
          </w:p>
        </w:tc>
        <w:tc>
          <w:tcPr/>
          <w:p>
            <w:pPr>
              <w:pStyle w:val="Compact"/>
            </w:pPr>
            <w:r>
              <w:t xml:space="preserve">+0.25% to +2.25%</w:t>
            </w:r>
          </w:p>
        </w:tc>
        <w:tc>
          <w:tcPr/>
          <w:p>
            <w:pPr>
              <w:pStyle w:val="Compact"/>
            </w:pPr>
            <w:r>
              <w:t xml:space="preserve">+1.25%</w:t>
            </w:r>
          </w:p>
        </w:tc>
      </w:tr>
      <w:tr>
        <w:tc>
          <w:tcPr/>
          <w:p>
            <w:pPr>
              <w:pStyle w:val="Compact"/>
            </w:pPr>
            <w:r>
              <w:t xml:space="preserve">SS Expense growth</w:t>
            </w:r>
          </w:p>
        </w:tc>
        <w:tc>
          <w:tcPr/>
          <w:p>
            <w:pPr>
              <w:pStyle w:val="Compact"/>
            </w:pPr>
            <w:r>
              <w:t xml:space="preserve">+3.00% to +4.50%</w:t>
            </w:r>
          </w:p>
        </w:tc>
        <w:tc>
          <w:tcPr/>
          <w:p>
            <w:pPr>
              <w:pStyle w:val="Compact"/>
            </w:pPr>
            <w:r>
              <w:t xml:space="preserve">+3.75%</w:t>
            </w:r>
          </w:p>
        </w:tc>
      </w:tr>
      <w:tr>
        <w:tc>
          <w:tcPr/>
          <w:p>
            <w:pPr>
              <w:pStyle w:val="Compact"/>
            </w:pPr>
            <w:r>
              <w:t xml:space="preserve">SS NOI growth</w:t>
            </w:r>
          </w:p>
        </w:tc>
        <w:tc>
          <w:tcPr/>
          <w:p>
            <w:pPr>
              <w:pStyle w:val="Compact"/>
            </w:pPr>
            <w:r>
              <w:t xml:space="preserve">–1.00% to +1.25%</w:t>
            </w:r>
          </w:p>
        </w:tc>
        <w:tc>
          <w:tcPr/>
          <w:p>
            <w:pPr>
              <w:pStyle w:val="Compact"/>
            </w:pPr>
            <w:r>
              <w:t xml:space="preserve">+0.125%</w:t>
            </w:r>
          </w:p>
        </w:tc>
      </w:tr>
    </w:tbl>
    <w:p>
      <w:pPr>
        <w:pStyle w:val="BodyText"/>
      </w:pPr>
      <w:r>
        <w:t xml:space="preserve">At ~$39.60, that's roughly</w:t>
      </w:r>
      <w:r>
        <w:t xml:space="preserve"> </w:t>
      </w:r>
      <w:r>
        <w:rPr>
          <w:b/>
          <w:bCs/>
        </w:rPr>
        <w:t xml:space="preserve">15.7x</w:t>
      </w:r>
      <w:r>
        <w:t xml:space="preserve"> </w:t>
      </w:r>
      <w:r>
        <w:t xml:space="preserve">the FFOA midpoint — a reasonable spot to be watching for a guide-up catalyst or a reset.</w:t>
      </w:r>
    </w:p>
    <w:bookmarkEnd w:id="11"/>
    <w:bookmarkStart w:id="12" w:name="X0a877f8ca9ca7909a0ce157ab84b5581181aab2"/>
    <w:p>
      <w:pPr>
        <w:pStyle w:val="Heading3"/>
      </w:pPr>
      <w:r>
        <w:t xml:space="preserve">2. Same-store revenue and the blended-rate trajectory</w:t>
      </w:r>
    </w:p>
    <w:p>
      <w:pPr>
        <w:pStyle w:val="FirstParagraph"/>
      </w:pPr>
      <w:r>
        <w:t xml:space="preserve">This is the crux. UDR's whole full-year setup rests on a specific assumption: full year 2026 guidance assumes first half blended lease rate growth will be the same as the second half at 1.5% to 2%, and importantly, "we do not need blended lease rate growth to accelerate throughout the year in order to achieve our revenue growth guidance." That's a low-bar, de-risked setup — watch whether Q2 blends landed inside that 1.5–2.0% band.</w:t>
      </w:r>
    </w:p>
    <w:p>
      <w:pPr>
        <w:pStyle w:val="BodyText"/>
      </w:pPr>
      <w:r>
        <w:t xml:space="preserve">Trend into the quarter was encouraging: Q1 blends were 1.6%, up about 370 basis points from the fourth quarter — the highest across the peer group on both a relative and absolute basis, and management said the first-quarter strength continued into April in that 1.6% range. Renewals are the workhorse: through July they were sending out renewals of 5% to 5.5% and expect to sign within 100 bps of that.</w:t>
      </w:r>
    </w:p>
    <w:bookmarkEnd w:id="12"/>
    <w:bookmarkStart w:id="13" w:name="Xc2ef4a7553b4eb3c213ad1fc047555d1256dc4c"/>
    <w:p>
      <w:pPr>
        <w:pStyle w:val="Heading3"/>
      </w:pPr>
      <w:r>
        <w:t xml:space="preserve">3. Coastal vs. Sunbelt — the key divergence</w:t>
      </w:r>
    </w:p>
    <w:p>
      <w:pPr>
        <w:pStyle w:val="FirstParagraph"/>
      </w:pPr>
      <w:r>
        <w:t xml:space="preserve">UDR is a diversified operator, but ~75% of NOI is coastal, and that's where the strength is:</w:t>
      </w:r>
    </w:p>
    <w:p>
      <w:pPr>
        <w:pStyle w:val="Compact"/>
        <w:numPr>
          <w:ilvl w:val="0"/>
          <w:numId w:val="1002"/>
        </w:numPr>
      </w:pPr>
      <w:r>
        <w:t xml:space="preserve">Coastal regions, about 75% of NOI, saw the highest growth — ~3.1% blends in April, accelerating from 2.8% in Q1.</w:t>
      </w:r>
    </w:p>
    <w:p>
      <w:pPr>
        <w:pStyle w:val="Compact"/>
        <w:numPr>
          <w:ilvl w:val="0"/>
          <w:numId w:val="1002"/>
        </w:numPr>
      </w:pPr>
      <w:r>
        <w:t xml:space="preserve">Standouts flagged on the Q1 call: San Francisco with blended lease rate growth of approximately 10% and occupancy in the high 97% range, and New York with blends of approximately 7% and occupancy above 98%.</w:t>
      </w:r>
    </w:p>
    <w:p>
      <w:pPr>
        <w:pStyle w:val="Compact"/>
        <w:numPr>
          <w:ilvl w:val="0"/>
          <w:numId w:val="1002"/>
        </w:numPr>
      </w:pPr>
      <w:r>
        <w:rPr>
          <w:b/>
          <w:bCs/>
        </w:rPr>
        <w:t xml:space="preserve">The watch item is the Sunbelt.</w:t>
      </w:r>
      <w:r>
        <w:t xml:space="preserve"> </w:t>
      </w:r>
      <w:r>
        <w:t xml:space="preserve">Management flagged a softening: Sunbelt markets retreated slightly over the past 30 days, from about negative 1.5% in Q1 to negative 2.5% in April, concentrated more in Florida than Texas, plus a downtick in Nashville. They called it "more of a blip" and still expect a possible Sunbelt inflection later in the year. Whether that inflection is showing up (or slipping) is a core Q2 question, given supply pressure there.</w:t>
      </w:r>
    </w:p>
    <w:bookmarkEnd w:id="13"/>
    <w:bookmarkStart w:id="14" w:name="X15d290c7628f022dbc8985a49a88ec280423876"/>
    <w:p>
      <w:pPr>
        <w:pStyle w:val="Heading3"/>
      </w:pPr>
      <w:r>
        <w:t xml:space="preserve">4. Expenses — did the weather noise clear?</w:t>
      </w:r>
    </w:p>
    <w:p>
      <w:pPr>
        <w:pStyle w:val="FirstParagraph"/>
      </w:pPr>
      <w:r>
        <w:t xml:space="preserve">Q1 same-store expense growth was elevated at 4.4%, but management attributed a chunk to weather: normalizing for ~$1.4 million of incremental snow removal and higher utility costs, expense growth would have been ~100 bps better, just below the midpoint of full-year guidance. Q2 should show a cleaner read; watch whether the full-year 3.00–4.50% expense range holds. The low-turnover strategy helps here — resident retention at an all-time high (turnover ~29%, ~300 bps better YoY) lowers make-ready costs.</w:t>
      </w:r>
    </w:p>
    <w:bookmarkEnd w:id="14"/>
    <w:bookmarkStart w:id="15" w:name="Xb3fea1eb5cca889238b3b97e52676a6b06a4a0c"/>
    <w:p>
      <w:pPr>
        <w:pStyle w:val="Heading3"/>
      </w:pPr>
      <w:r>
        <w:t xml:space="preserve">5. Capital allocation — the arbitrage playbook</w:t>
      </w:r>
    </w:p>
    <w:p>
      <w:pPr>
        <w:pStyle w:val="FirstParagraph"/>
      </w:pPr>
      <w:r>
        <w:t xml:space="preserve">This is arguably the most important structural story. Management is exploiting a wide public/private valuation gap: selling lower-growth assets for 100 cents on the dollar on Main Street and buying back shares — a superior growth portfolio — for $0.75 to $0.80 on the dollar on Wall Street. Activity to date:</w:t>
      </w:r>
    </w:p>
    <w:p>
      <w:pPr>
        <w:pStyle w:val="Compact"/>
        <w:numPr>
          <w:ilvl w:val="0"/>
          <w:numId w:val="1003"/>
        </w:numPr>
      </w:pPr>
      <w:r>
        <w:t xml:space="preserve">Q1: sold four communities (1,159 homes) for $362.0 million gross, at a market cap rate in the mid-5% range.</w:t>
      </w:r>
    </w:p>
    <w:p>
      <w:pPr>
        <w:pStyle w:val="Compact"/>
        <w:numPr>
          <w:ilvl w:val="0"/>
          <w:numId w:val="1003"/>
        </w:numPr>
      </w:pPr>
      <w:r>
        <w:t xml:space="preserve">Buybacks: since recommencing repurchases in September 2025, ~7.4 million shares for ~$268.0 million at a weighted average $35.96 (well below today's price).</w:t>
      </w:r>
    </w:p>
    <w:p>
      <w:pPr>
        <w:pStyle w:val="Compact"/>
        <w:numPr>
          <w:ilvl w:val="0"/>
          <w:numId w:val="1003"/>
        </w:numPr>
      </w:pPr>
      <w:r>
        <w:t xml:space="preserve">They have signaled more: "We have more assets on the market, and we will remain disciplined sellers," and the playbook continues "as long as the stock is as attractively valued as it is."</w:t>
      </w:r>
    </w:p>
    <w:p>
      <w:pPr>
        <w:pStyle w:val="FirstParagraph"/>
      </w:pPr>
      <w:r>
        <w:t xml:space="preserve">Watch for the</w:t>
      </w:r>
      <w:r>
        <w:t xml:space="preserve"> </w:t>
      </w:r>
      <w:r>
        <w:rPr>
          <w:b/>
          <w:bCs/>
        </w:rPr>
        <w:t xml:space="preserve">updated sources/uses guide</w:t>
      </w:r>
      <w:r>
        <w:t xml:space="preserve">, incremental disposition volume and pricing (a read on private-market cap rates), and pace of buybacks. With shares now ~</w:t>
      </w:r>
      <m:oMath>
        <m:r>
          <m:t>39.60</m:t>
        </m:r>
        <m:r>
          <m:t>v</m:t>
        </m:r>
        <m:r>
          <m:t>s</m:t>
        </m:r>
        <m:r>
          <m:rPr>
            <m:sty m:val="p"/>
          </m:rPr>
          <m:t>.</m:t>
        </m:r>
        <m:r>
          <m:t>a</m:t>
        </m:r>
        <m:r>
          <m:t> </m:t>
        </m:r>
      </m:oMath>
      <w:r>
        <w:t xml:space="preserve">36 average repurchase price, the accretion math is tighter than earlier in the year — investors will want to hear whether buybacks are still the top use of capital.</w:t>
      </w:r>
    </w:p>
    <w:bookmarkEnd w:id="15"/>
    <w:bookmarkStart w:id="16" w:name="X92a86b73c91f86bcca7b5e784fff3da0a80df0d"/>
    <w:p>
      <w:pPr>
        <w:pStyle w:val="Heading3"/>
      </w:pPr>
      <w:r>
        <w:t xml:space="preserve">6. Debt &amp; Preferred Equity (DPE) book wind-down</w:t>
      </w:r>
    </w:p>
    <w:p>
      <w:pPr>
        <w:pStyle w:val="FirstParagraph"/>
      </w:pPr>
      <w:r>
        <w:t xml:space="preserve">The DPE book is shrinking as capital rotates to buybacks. Management guided the balance from the high</w:t>
      </w:r>
      <w:r>
        <w:t xml:space="preserve"> </w:t>
      </w:r>
      <m:oMath>
        <m:r>
          <m:t>300</m:t>
        </m:r>
        <m:r>
          <m:t>m</m:t>
        </m:r>
        <m:r>
          <m:t>i</m:t>
        </m:r>
        <m:r>
          <m:t>l</m:t>
        </m:r>
        <m:r>
          <m:t>l</m:t>
        </m:r>
        <m:r>
          <m:t>i</m:t>
        </m:r>
        <m:r>
          <m:t>o</m:t>
        </m:r>
        <m:r>
          <m:t>n</m:t>
        </m:r>
        <m:r>
          <m:t>r</m:t>
        </m:r>
        <m:r>
          <m:t>a</m:t>
        </m:r>
        <m:r>
          <m:t>n</m:t>
        </m:r>
        <m:r>
          <m:t>g</m:t>
        </m:r>
        <m:r>
          <m:t>e</m:t>
        </m:r>
        <m:r>
          <m:t>a</m:t>
        </m:r>
        <m:r>
          <m:t>t</m:t>
        </m:r>
        <m:r>
          <m:t>t</m:t>
        </m:r>
        <m:r>
          <m:t>h</m:t>
        </m:r>
        <m:r>
          <m:t>e</m:t>
        </m:r>
        <m:r>
          <m:t>e</m:t>
        </m:r>
        <m:r>
          <m:t>n</m:t>
        </m:r>
        <m:r>
          <m:t>d</m:t>
        </m:r>
        <m:r>
          <m:t>o</m:t>
        </m:r>
        <m:r>
          <m:t>f</m:t>
        </m:r>
        <m:r>
          <m:t>Q</m:t>
        </m:r>
        <m:r>
          <m:t>1</m:t>
        </m:r>
        <m:r>
          <m:t>t</m:t>
        </m:r>
        <m:r>
          <m:t>o</m:t>
        </m:r>
        <m:r>
          <m:t>w</m:t>
        </m:r>
        <m:r>
          <m:t>a</m:t>
        </m:r>
        <m:r>
          <m:t>r</m:t>
        </m:r>
        <m:r>
          <m:t>d</m:t>
        </m:r>
        <m:r>
          <m:t> </m:t>
        </m:r>
      </m:oMath>
      <w:r>
        <w:t xml:space="preserve">300 million by year-end. Q1 already saw $138.9 million of full repayments, plus the conversion of DPE positions into owned assets in Portland, OR — a 232-home community acquired in April with a second to follow, at a high-5% stabilized yield. Track the pace of paydowns and any earnings drag from the smaller book.</w:t>
      </w:r>
    </w:p>
    <w:bookmarkEnd w:id="16"/>
    <w:bookmarkStart w:id="17" w:name="X015d79e34e7a112b84720964459c316d087948d"/>
    <w:p>
      <w:pPr>
        <w:pStyle w:val="Heading3"/>
      </w:pPr>
      <w:r>
        <w:t xml:space="preserve">7. The monthly dividend and the "retail shareholder" push</w:t>
      </w:r>
    </w:p>
    <w:p>
      <w:pPr>
        <w:pStyle w:val="FirstParagraph"/>
      </w:pPr>
      <w:r>
        <w:t xml:space="preserve">A differentiated angle: UDR became the first residential REIT to offer a monthly dividend, beginning with the July 2026 payment, at $0.145 per share per month, an annualized $1.74 (~4.4% yield at $39.60). Management frames it as part of a broader campaign to diversify the shareholder base toward high-net-worth, family office and retail capital. Q2 is the first quarter under the new cadence — expect commentary on early reception, and it may be a soft catalyst for the "shareholder of the future" narrative.</w:t>
      </w:r>
    </w:p>
    <w:bookmarkEnd w:id="17"/>
    <w:bookmarkStart w:id="18" w:name="Xfe4ed47fd8a9cfc9acdf929dad651c89880c1f3"/>
    <w:p>
      <w:pPr>
        <w:pStyle w:val="Heading3"/>
      </w:pPr>
      <w:r>
        <w:t xml:space="preserve">8. Regulatory overhang</w:t>
      </w:r>
    </w:p>
    <w:p>
      <w:pPr>
        <w:pStyle w:val="FirstParagraph"/>
      </w:pPr>
      <w:r>
        <w:t xml:space="preserve">A tail risk worth monitoring, especially given UDR's coastal tilt:</w:t>
      </w:r>
    </w:p>
    <w:p>
      <w:pPr>
        <w:pStyle w:val="Compact"/>
        <w:numPr>
          <w:ilvl w:val="0"/>
          <w:numId w:val="1004"/>
        </w:numPr>
      </w:pPr>
      <w:r>
        <w:rPr>
          <w:b/>
          <w:bCs/>
        </w:rPr>
        <w:t xml:space="preserve">Massachusetts statewide rent control ballot measure (November 2026).</w:t>
      </w:r>
      <w:r>
        <w:t xml:space="preserve"> </w:t>
      </w:r>
      <w:r>
        <w:t xml:space="preserve">UDR has contributed ~$0.5 million to oppose it and will likely go higher, though management stresses the cost will be a small fraction of what was spent in California.</w:t>
      </w:r>
    </w:p>
    <w:p>
      <w:pPr>
        <w:pStyle w:val="Compact"/>
        <w:numPr>
          <w:ilvl w:val="0"/>
          <w:numId w:val="1004"/>
        </w:numPr>
      </w:pPr>
      <w:r>
        <w:t xml:space="preserve">Broader watch list cited: Salinas CA, New York City, and Washington, D.C., plus federal-level scrutiny of residential REITs. Management's posture: too early to handicap, business-as-usual for now.</w:t>
      </w:r>
    </w:p>
    <w:bookmarkEnd w:id="18"/>
    <w:bookmarkStart w:id="19" w:name="X93b57bb638366c9558e3918452335dd6aaf52af"/>
    <w:p>
      <w:pPr>
        <w:pStyle w:val="Heading3"/>
      </w:pPr>
      <w:r>
        <w:t xml:space="preserve">9. Development / external growth optionality</w:t>
      </w:r>
    </w:p>
    <w:p>
      <w:pPr>
        <w:pStyle w:val="FirstParagraph"/>
      </w:pPr>
      <w:r>
        <w:t xml:space="preserve">Mostly a 2027–2028 story, but worth a listen. The Riverside, CA project (3099 Iowa) is running ahead of schedule (initial occupancy pulled forward to Q4 2026 from Q1 2027) and under budget. Management also flagged land-bank sites that could be activated with returns on incremental capital above 6% if activated, delivering into a less competitive supply environment in '27 and '28. Any signal of a development start would be a shift in tone.</w:t>
      </w:r>
    </w:p>
    <w:p>
      <w:r>
        <w:pict>
          <v:rect style="width:0;height:1.5pt" o:hralign="center" o:hrstd="t" o:hr="t"/>
        </w:pict>
      </w:r>
    </w:p>
    <w:bookmarkEnd w:id="19"/>
    <w:bookmarkEnd w:id="20"/>
    <w:bookmarkStart w:id="21" w:name="bull--bear-framing"/>
    <w:p>
      <w:pPr>
        <w:pStyle w:val="Heading2"/>
      </w:pPr>
      <w:r>
        <w:t xml:space="preserve">Bull / Bear Framing</w:t>
      </w:r>
    </w:p>
    <w:p>
      <w:pPr>
        <w:pStyle w:val="FirstParagraph"/>
      </w:pPr>
      <w:r>
        <w:rPr>
          <w:b/>
          <w:bCs/>
        </w:rPr>
        <w:t xml:space="preserve">Bulls will point to:</w:t>
      </w:r>
      <w:r>
        <w:t xml:space="preserve"> </w:t>
      </w:r>
      <w:r>
        <w:t xml:space="preserve">best-in-peer Q1 blends, accelerating coastal momentum (SF, NY), all-time-high retention driving margin, a de-risked full-year guide that doesn't require acceleration, accretive sell-high/buy-back-cheap capital recycling, a fortress balance sheet (~$1.1 billion liquidity; net debt/EBITDAre ~5.6x; weighted avg rate 3.4%), and a shrinking multifamily supply pipeline.</w:t>
      </w:r>
    </w:p>
    <w:p>
      <w:pPr>
        <w:pStyle w:val="BodyText"/>
      </w:pPr>
      <w:r>
        <w:rPr>
          <w:b/>
          <w:bCs/>
        </w:rPr>
        <w:t xml:space="preserve">Bears will point to:</w:t>
      </w:r>
      <w:r>
        <w:t xml:space="preserve"> </w:t>
      </w:r>
      <w:r>
        <w:t xml:space="preserve">Sunbelt softening that could deepen rather than inflect, still-negative new-lease growth industry-wide, expense stickiness, regulatory/rent-control risk concentrated in UDR's best coastal markets, buyback accretion narrowing as the stock has recovered, and a full-year SS NOI midpoint of essentially zero (+0.125%) — i.e., this is a "grind-it-out" year where the earnings growth is coming largely from capital allocation, not organic NOI.</w:t>
      </w:r>
    </w:p>
    <w:bookmarkEnd w:id="21"/>
    <w:bookmarkStart w:id="22" w:name="bottom-line"/>
    <w:p>
      <w:pPr>
        <w:pStyle w:val="Heading2"/>
      </w:pPr>
      <w:r>
        <w:t xml:space="preserve">Bottom Line</w:t>
      </w:r>
    </w:p>
    <w:p>
      <w:pPr>
        <w:pStyle w:val="FirstParagraph"/>
      </w:pPr>
      <w:r>
        <w:t xml:space="preserve">Expect an</w:t>
      </w:r>
      <w:r>
        <w:t xml:space="preserve"> </w:t>
      </w:r>
      <w:r>
        <w:rPr>
          <w:b/>
          <w:bCs/>
        </w:rPr>
        <w:t xml:space="preserve">in-line-to-slightly-better</w:t>
      </w:r>
      <w:r>
        <w:t xml:space="preserve"> </w:t>
      </w:r>
      <w:r>
        <w:t xml:space="preserve">Q2 (FFOA around the $0.63 midpoint) with the market's attention squarely on: (1) whether the full-year guide is raised or held, (2) the coastal-vs-Sunbelt blend trajectory, and (3) the size/pricing of continued dispositions and buybacks. Given the setup was deliberately de-risked in April and the stock has already rallied, the risk/reward hinges more on</w:t>
      </w:r>
      <w:r>
        <w:t xml:space="preserve"> </w:t>
      </w:r>
      <w:r>
        <w:rPr>
          <w:b/>
          <w:bCs/>
        </w:rPr>
        <w:t xml:space="preserve">guidance direction and capital-allocation commentary</w:t>
      </w:r>
      <w:r>
        <w:t xml:space="preserve"> </w:t>
      </w:r>
      <w:r>
        <w:t xml:space="preserve">than on the printed quarter. A Sunbelt inflection + a guide-up would be the clean bull case; deepening Sunbelt weakness or a slower buyback pace would be the disappointment.</w:t>
      </w:r>
    </w:p>
    <w:p>
      <w:pPr>
        <w:pStyle w:val="BodyText"/>
      </w:pPr>
      <w:r>
        <w:rPr>
          <w:i/>
          <w:iCs/>
        </w:rPr>
        <w:t xml:space="preserve">Prices as of 7/24/2026 close ($39.60). All operating figures reference UDR's most recent (1Q 2026) results and guidance; Q2 actuals will supersede.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2026-07-27T00:24:36Z</dcterms:created>
  <dcterms:modified xsi:type="dcterms:W3CDTF">2026-07-27T00:24:36Z</dcterms:modified>
</cp:coreProperties>
</file>

<file path=docProps/custom.xml><?xml version="1.0" encoding="utf-8"?>
<Properties xmlns="http://schemas.openxmlformats.org/officeDocument/2006/custom-properties" xmlns:vt="http://schemas.openxmlformats.org/officeDocument/2006/docPropsVTypes"/>
</file>