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dr-earnings-predictions--2026-07-27"/>
    <w:p>
      <w:pPr>
        <w:pStyle w:val="Heading1"/>
      </w:pPr>
      <w:r>
        <w:t xml:space="preserve">UDR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FFOA per diluted share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~$0.63 vs. cons $0.63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Same-Store Revenue Growth YoY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~1.0% vs. cons 1.3%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Blended Lease Rate Growth (new+renewal, 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~1.3% vs. cons 1.7%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FFOA per 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~$2.52 vs. cons $2.53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~1.25% vs. cons 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NOI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~0.13% vs. cons 0.5%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Cumulative share repurchases since Sep-2025 (buyback pace commentary)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~$350M vs. cons $300M (FY2026, cumulative through Q2 print)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UDR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-2.2% (FADE)</w:t>
            </w:r>
          </w:p>
        </w:tc>
        <w:tc>
          <w:tcPr/>
          <w:p>
            <w:pPr>
              <w:pStyle w:val="Compact"/>
            </w:pPr>
            <w:r>
              <w:t xml:space="preserve">Q2 FFOA should print roughly in-line with the $0.62-0.64 guide/consensus, but UDR's Q1 same-store NOI already ran negative YoY (-0.8%) with Southeast/Southwest/Mid-Atlantic dragging, and preview flagged Sunbelt (FL/Nashville) deteriorating further into April. Peers AVB and EQR both beat and raised full-year same-store guidance on San Francisco strength and easing supply, resetting sector expectations higher; if UDR merely reaffirms (rather than raises) its FY26 SS revenue/NOI guide - which the Q1 trajectory and Sunbelt commentary suggest is likely - it will read as a relative disappointment against the newly-raised peer bar. UDR shares have already rallied ~8-10% off March lows into the print, front-running sector optimism, so a reaffirm-only outcome plus soft same-store prints likely triggers sell-side trims to 2H26 NOI/FFOA estimates over the following days (implicit cut via unchanged full-year ranges despite peer raises), producing a fade rather than follow-through, tempered by continued buyback/disposition arbitrage and monthly-dividend narrative providing some support against a sharper decline.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2026-07-27T00:26:01Z</dcterms:created>
  <dcterms:modified xsi:type="dcterms:W3CDTF">2026-07-27T00:26:01Z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