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069309c12fe0e7657ef658eae9f72d20749ce0d"/>
    <w:p>
      <w:pPr>
        <w:pStyle w:val="Heading1"/>
      </w:pPr>
      <w:r>
        <w:t xml:space="preserve">UDR, Inc. (NYSE: UDR) — Q2 2026 Earnings Preview</w:t>
      </w:r>
    </w:p>
    <w:p>
      <w:pPr>
        <w:pStyle w:val="FirstParagraph"/>
      </w:pPr>
      <w:r>
        <w:rPr>
          <w:b/>
          <w:bCs/>
        </w:rPr>
        <w:t xml:space="preserve">Reports: Monday, July 27, 2026 (after market close) | Call: Tuesday, July 28, 2026, 12:00 pm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UDR heads into its second-quarter report with operating trends "largely on plan" following a clean Q1 beat-in-line quarter, a series of capital-allocation moves aimed at exploiting the public/private valuation gap, and a headline-grabbing shift to a monthly dividend. The stock has rallied sharply off its March lows (~$33.60) to roughly</w:t>
      </w:r>
      <w:r>
        <w:t xml:space="preserve"> </w:t>
      </w:r>
      <m:oMath>
        <m:r>
          <m:t>39.50</m:t>
        </m:r>
        <m:r>
          <m:rPr>
            <m:sty m:val="p"/>
          </m:rPr>
          <m:t>–</m:t>
        </m:r>
      </m:oMath>
      <w:r>
        <w:t xml:space="preserve">40 heading into the print, tracking a broader apartment-REIT rebound and a wave of sector consolidation news (the AvalonBay/Equity Residential merger of equals). Shares trade modestly below the ~$40.50 average sell-side price target, with a "Moderate Buy" consensus (8 Strong Buy / 13 Hold / 2 Strong Sell among 23 analysts).</w:t>
      </w:r>
    </w:p>
    <w:bookmarkEnd w:id="9"/>
    <w:bookmarkStart w:id="10" w:name="what-guidance-says-to-expect"/>
    <w:p>
      <w:pPr>
        <w:pStyle w:val="Heading2"/>
      </w:pPr>
      <w:r>
        <w:t xml:space="preserve">What Guidance Says to Expect</w:t>
      </w:r>
    </w:p>
    <w:p>
      <w:pPr>
        <w:pStyle w:val="FirstParagraph"/>
      </w:pPr>
      <w:r>
        <w:t xml:space="preserve">Management's own Q2 outlook, issued alongside Q1 results,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2026A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income/share</w:t>
            </w:r>
          </w:p>
        </w:tc>
        <w:tc>
          <w:tcPr/>
          <w:p>
            <w:pPr>
              <w:pStyle w:val="Compact"/>
            </w:pPr>
            <w:r>
              <w:t xml:space="preserve">$0.57</w:t>
            </w:r>
          </w:p>
        </w:tc>
        <w:tc>
          <w:tcPr/>
          <w:p>
            <w:pPr>
              <w:pStyle w:val="Compact"/>
            </w:pPr>
            <m:oMath>
              <m:r>
                <m:t>0.12</m:t>
              </m:r>
              <m:r>
                <m:rPr>
                  <m:sty m:val="p"/>
                </m:rPr>
                <m:t>–</m:t>
              </m:r>
            </m:oMath>
            <w:r>
              <w:t xml:space="preserve">0.14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FFO/share</w:t>
            </w:r>
          </w:p>
        </w:tc>
        <w:tc>
          <w:tcPr/>
          <w:p>
            <w:pPr>
              <w:pStyle w:val="Compact"/>
            </w:pPr>
            <w:r>
              <w:t xml:space="preserve">$0.63</w:t>
            </w:r>
          </w:p>
        </w:tc>
        <w:tc>
          <w:tcPr/>
          <w:p>
            <w:pPr>
              <w:pStyle w:val="Compact"/>
            </w:pPr>
            <m:oMath>
              <m:r>
                <m:t>0.62</m:t>
              </m:r>
              <m:r>
                <m:rPr>
                  <m:sty m:val="p"/>
                </m:rPr>
                <m:t>–</m:t>
              </m:r>
            </m:oMath>
            <w:r>
              <w:t xml:space="preserve">0.64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FFOA/share</w:t>
            </w:r>
          </w:p>
        </w:tc>
        <w:tc>
          <w:tcPr/>
          <w:p>
            <w:pPr>
              <w:pStyle w:val="Compact"/>
            </w:pPr>
            <w:r>
              <w:t xml:space="preserve">$0.62</w:t>
            </w:r>
          </w:p>
        </w:tc>
        <w:tc>
          <w:tcPr/>
          <w:p>
            <w:pPr>
              <w:pStyle w:val="Compact"/>
            </w:pPr>
            <m:oMath>
              <m:r>
                <m:t>0.62</m:t>
              </m:r>
              <m:r>
                <m:rPr>
                  <m:sty m:val="p"/>
                </m:rPr>
                <m:t>–</m:t>
              </m:r>
            </m:oMath>
            <w:r>
              <w:t xml:space="preserve">0.64</w:t>
            </w:r>
          </w:p>
        </w:tc>
      </w:tr>
    </w:tbl>
    <w:p>
      <w:pPr>
        <w:pStyle w:val="BodyText"/>
      </w:pPr>
      <w:r>
        <w:t xml:space="preserve">The</w:t>
      </w:r>
      <w:r>
        <w:t xml:space="preserve"> </w:t>
      </w:r>
      <m:oMath>
        <m:r>
          <m:t>0.63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2</m:t>
        </m:r>
      </m:oMath>
      <w:r>
        <w:t xml:space="preserve">0.63, a slight y/y decline vs. $0.64 a year ago), with revenue modeled around $421 million. Full-year 2026 guidance — reaffirmed, not raised, at Q1 — calls for FFOA of</w:t>
      </w:r>
      <w:r>
        <w:t xml:space="preserve"> </w:t>
      </w:r>
      <m:oMath>
        <m:r>
          <m:t>2.47</m:t>
        </m:r>
        <m:r>
          <m:rPr>
            <m:sty m:val="p"/>
          </m:rPr>
          <m:t>–</m:t>
        </m:r>
      </m:oMath>
      <w:r>
        <w:t xml:space="preserve">2.57 (midpoint $2.52) and same-store revenue/expense/NOI growth of 1.25%/3.75%/0.125% at the midpoints. Given that guidance wasn't refreshed last quarter ("we are maintaining our full year 2026 same-store and earnings guidance, which we will reassess next quarter"), Q2 is the first real checkpoint for investors to see whether momentum supports raising the outlook — something peers AvalonBay and Equity Residential have already done this cycle.</w:t>
      </w:r>
    </w:p>
    <w:bookmarkEnd w:id="10"/>
    <w:bookmarkStart w:id="11" w:name="key-threads-to-watch"/>
    <w:p>
      <w:pPr>
        <w:pStyle w:val="Heading2"/>
      </w:pPr>
      <w:r>
        <w:t xml:space="preserve">Key Threads to Watch</w:t>
      </w:r>
    </w:p>
    <w:p>
      <w:pPr>
        <w:pStyle w:val="FirstParagraph"/>
      </w:pPr>
      <w:r>
        <w:rPr>
          <w:b/>
          <w:bCs/>
        </w:rPr>
        <w:t xml:space="preserve">1. Operating momentum: coastal strength vs. Sunbelt softness.</w:t>
      </w:r>
      <w:r>
        <w:t xml:space="preserve"> </w:t>
      </w:r>
      <w:r>
        <w:t xml:space="preserve">Q1 blended lease rate growth of 1.6% was described by management as the best in the peer group, powered by San Francisco (~10% blended growth) and New York (~7%), with Dallas improving materially. However, commentary on the Q1 call flagged that Sunbelt markets — specifically Florida and Nashville — retreated in April (blended growth slipping from roughly -1.5% in Q1 to -2.5% in April). Watch whether this softness persisted through Q2 or reversed as management expected. Peer read-throughs are constructive: both AvalonBay and Equity Residential posted Q2 prints with San Francisco as the standout market and cited easing supply and resilient demand, and EQR specifically raised full-year same-store guidance on strong occupancy/retention.</w:t>
      </w:r>
    </w:p>
    <w:p>
      <w:pPr>
        <w:pStyle w:val="BodyText"/>
      </w:pPr>
      <w:r>
        <w:rPr>
          <w:b/>
          <w:bCs/>
        </w:rPr>
        <w:t xml:space="preserve">2. Resident retention and turnover.</w:t>
      </w:r>
      <w:r>
        <w:t xml:space="preserve"> </w:t>
      </w:r>
      <w:r>
        <w:t xml:space="preserve">UDR entered 2026 with occupancy at 97% and posted an all-time-high retention quarter (300 bps better y/y), driving renewal growth of 5.2% (vs. 4.5% in Q4 2025). Management has guided to renewal offers of 5–5.5% through July with expected signing within ~100 bps of that. Sustained low turnover (down roughly 1,200 bps since 2012–2019, ~800 bps since the 2023 "customer experience" initiative) is central to the margin/cash-flow story — confirmation of continued gains here would be a positive.</w:t>
      </w:r>
    </w:p>
    <w:p>
      <w:pPr>
        <w:pStyle w:val="BodyText"/>
      </w:pPr>
      <w:r>
        <w:rPr>
          <w:b/>
          <w:bCs/>
        </w:rPr>
        <w:t xml:space="preserve">3. Capital recycling / buyback arbitrage.</w:t>
      </w:r>
      <w:r>
        <w:t xml:space="preserve"> </w:t>
      </w:r>
      <w:r>
        <w:t xml:space="preserve">UDR's core 2026 playbook has been disposing of lower-growth, higher-capex assets at roughly mid-5% cap rates (four communities sold for $362 million in Q1) and redeploying proceeds into share buybacks — framed by management as buying "a superior growth portfolio for $0.75 to $0.80 on the dollar" versus 100 cents on the dollar in the private market. UDR has repurchased $268 million of stock since September 2025 (including</w:t>
      </w:r>
      <w:r>
        <w:t xml:space="preserve"> </w:t>
      </w:r>
      <w:r>
        <w:t xml:space="preserve">$150 million completed/subsequent to Q1). Investors should watch for: additional disposition volume (management noted more assets are "in the market"), further buyback activity, and updates on the debt-and-preferred-equity (DPE) book, which is expected to shrink from the high-$</w:t>
      </w:r>
      <w:r>
        <w:t xml:space="preserve">300 million range toward ~$300 million by year-end as the Portland, OR assets are absorbed (one 232-unit community closed in April; a second is expected "in the coming months").</w:t>
      </w:r>
    </w:p>
    <w:p>
      <w:pPr>
        <w:pStyle w:val="BodyText"/>
      </w:pPr>
      <w:r>
        <w:rPr>
          <w:b/>
          <w:bCs/>
        </w:rPr>
        <w:t xml:space="preserve">4. Monthly dividend rollout.</w:t>
      </w:r>
      <w:r>
        <w:t xml:space="preserve"> </w:t>
      </w:r>
      <w:r>
        <w:t xml:space="preserve">UDR became the first residential REIT to shift from quarterly to monthly dividends (effective with the dividend payable in July 2026, $0.145/month, $1.74 annualized), a move explicitly aimed at broadening the shareholder base toward high-net-worth, family-office, and retail-oriented capital. This is a modest near-term catalyst/marketing story rather than a fundamental one, but management signaled more retail-focused initiatives are coming; any commentary on early reception (fund flows, retail ownership shifts) would be notable.</w:t>
      </w:r>
    </w:p>
    <w:p>
      <w:pPr>
        <w:pStyle w:val="BodyText"/>
      </w:pPr>
      <w:r>
        <w:rPr>
          <w:b/>
          <w:bCs/>
        </w:rPr>
        <w:t xml:space="preserve">5. Development and external growth.</w:t>
      </w:r>
      <w:r>
        <w:t xml:space="preserve"> </w:t>
      </w:r>
      <w:r>
        <w:t xml:space="preserve">The Riverside, CA ground-up project (3099 Iowa) is tracking ahead of schedule (initial occupancy now expected Q4 2026 vs. original Q1 2027 guidance) and under budget — watch for confirmation. Management also flagged optionality to activate additional land-bank sites with &gt;6% incremental returns for delivery into a lighter 2027–2028 supply environment.</w:t>
      </w:r>
    </w:p>
    <w:p>
      <w:pPr>
        <w:pStyle w:val="BodyText"/>
      </w:pPr>
      <w:r>
        <w:rPr>
          <w:b/>
          <w:bCs/>
        </w:rPr>
        <w:t xml:space="preserve">6. Regulatory/rent-control overhangs.</w:t>
      </w:r>
      <w:r>
        <w:t xml:space="preserve"> </w:t>
      </w:r>
      <w:r>
        <w:t xml:space="preserve">A Massachusetts statewide rent-control ballot measure (November 2026) is an emerging risk for UDR's Boston exposure; the company has contributed roughly $0.5 million to opposition efforts and expects that figure to rise, though it characterized the cost as much smaller than California's prior ballot fights. Separately, federal-level scrutiny (Senator Warren's REIT inquiries, D.C. rent/"junk fee" litigation, Salinas/NYC tenant-friendly measures) remains a background noise item management is monitoring but hasn't quantified as a near-term earnings risk.</w:t>
      </w:r>
    </w:p>
    <w:p>
      <w:pPr>
        <w:pStyle w:val="BodyText"/>
      </w:pPr>
      <w:r>
        <w:rPr>
          <w:b/>
          <w:bCs/>
        </w:rPr>
        <w:t xml:space="preserve">7. Sector consolidation backdrop.</w:t>
      </w:r>
      <w:r>
        <w:t xml:space="preserve"> </w:t>
      </w:r>
      <w:r>
        <w:t xml:space="preserve">The pending AvalonBay–Equity Residential all-stock merger of equals (creating a combined company with ~$53 billion equity market cap and 180,000+ units) looms over the space. On UDR's Q1 call, management was asked directly about scale/consolidation risk and pushed back on the idea that size confers a durable competitive advantage in the fragmented apartment industry, emphasizing operational and capital-allocation "excellence" over scale. Investors may probe management again on strategic implications, competitive dynamics, and whether UDR sees a role in further industry consolidation.</w:t>
      </w:r>
    </w:p>
    <w:bookmarkEnd w:id="11"/>
    <w:bookmarkStart w:id="1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UDR goes into Q2 with results that should land close to the</w:t>
      </w:r>
      <w:r>
        <w:t xml:space="preserve"> </w:t>
      </w:r>
      <m:oMath>
        <m:r>
          <m:t>0.62</m:t>
        </m:r>
        <m:r>
          <m:rPr>
            <m:sty m:val="p"/>
          </m:rPr>
          <m:t>–</m:t>
        </m:r>
      </m:oMath>
      <w:r>
        <w:t xml:space="preserve">0.64 FFOA guidance range and consensus of roughly $0.63, alongside same-store metrics tracking the low end of "as planned." The bigger swing factors for the stock reaction are likely to be: (1) whether full-year guidance gets nudged higher given peer upgrades (AVB, EQR) on the back of strong coastal/gateway-market performance and easing supply; (2) the trajectory of Sunbelt softness (Florida, Nashville) versus management's expectation of a later-year inflection; (3) incremental disclosure on disposition/buyback pace and DPE wind-down; and (4) any read on how the AVB-EQR merger and monthly-dividend pivot are reshaping investor perception of UDR's strategic positioning in a consolidating sector.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2026-07-27T00:26:01Z</dcterms:created>
  <dcterms:modified xsi:type="dcterms:W3CDTF">2026-07-27T00:26:01Z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