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udr-q2-2026-earnings-preview"/>
    <w:p>
      <w:pPr>
        <w:pStyle w:val="Heading1"/>
      </w:pPr>
      <w:r>
        <w:t xml:space="preserve">UDR Q2 2026 Earnings Preview</w:t>
      </w:r>
    </w:p>
    <w:p>
      <w:pPr>
        <w:pStyle w:val="BlockText"/>
      </w:pPr>
      <w:r>
        <w:rPr>
          <w:b/>
          <w:bCs/>
        </w:rPr>
        <w:t xml:space="preserve">Timing clarification:</w:t>
      </w:r>
      <w:r>
        <w:t xml:space="preserve"> </w:t>
      </w:r>
      <w:r>
        <w:t xml:space="preserve">UDR is scheduled to release second-quarter results</w:t>
      </w:r>
      <w:r>
        <w:t xml:space="preserve"> </w:t>
      </w:r>
      <w:r>
        <w:rPr>
          <w:b/>
          <w:bCs/>
        </w:rPr>
        <w:t xml:space="preserve">today, Monday, July 27, 2026, after the market closes</w:t>
      </w:r>
      <w:r>
        <w:t xml:space="preserve">. The earnings call is</w:t>
      </w:r>
      <w:r>
        <w:t xml:space="preserve"> </w:t>
      </w:r>
      <w:r>
        <w:rPr>
          <w:b/>
          <w:bCs/>
        </w:rPr>
        <w:t xml:space="preserve">tomorrow, Tuesday, July 28, at 12:00 p.m. ET</w:t>
      </w:r>
      <w:r>
        <w:t xml:space="preserve">. (</w:t>
      </w:r>
      <w:hyperlink r:id="rId9">
        <w:r>
          <w:rPr>
            <w:rStyle w:val="Hyperlink"/>
          </w:rPr>
          <w:t xml:space="preserve">nasdaq.com</w:t>
        </w:r>
      </w:hyperlink>
      <w:r>
        <w:t xml:space="preserve">)</w:t>
      </w:r>
    </w:p>
    <w:bookmarkStart w:id="11" w:name="investment-setup"/>
    <w:p>
      <w:pPr>
        <w:pStyle w:val="Heading2"/>
      </w:pPr>
      <w:r>
        <w:t xml:space="preserve">Investment setup</w:t>
      </w:r>
    </w:p>
    <w:p>
      <w:pPr>
        <w:pStyle w:val="FirstParagraph"/>
      </w:pPr>
      <w:r>
        <w:t xml:space="preserve">The headline FFO number should be relatively uneventful. The more important question is whether improving coastal apartment fundamentals—and encouraging results from peers—are strong enough for UDR to raise its full-year same-store outlook.</w:t>
      </w:r>
    </w:p>
    <w:p>
      <w:pPr>
        <w:pStyle w:val="BodyText"/>
      </w:pPr>
      <w:r>
        <w:t xml:space="preserve">UDR guided to second-quarter FFO and FFO as adjusted of</w:t>
      </w:r>
      <w:r>
        <w:t xml:space="preserve"> </w:t>
      </w:r>
      <m:oMath>
        <m:r>
          <m:t>0.62</m:t>
        </m:r>
        <m:r>
          <m:rPr>
            <m:sty m:val="p"/>
          </m:rPr>
          <m:t>–</m:t>
        </m:r>
      </m:oMath>
      <w:r>
        <w:rPr>
          <w:b/>
          <w:bCs/>
        </w:rPr>
        <w:t xml:space="preserve">0.64 per share</w:t>
      </w:r>
      <w:r>
        <w:t xml:space="preserve">, centered on</w:t>
      </w:r>
      <w:r>
        <w:t xml:space="preserve"> </w:t>
      </w:r>
      <m:oMath>
        <m:r>
          <m:t>0.63</m:t>
        </m:r>
        <m:r>
          <m:rPr>
            <m:sty m:val="p"/>
          </m:rPr>
          <m:t>.</m:t>
        </m:r>
        <m:r>
          <m:t>F</m:t>
        </m:r>
        <m:r>
          <m:t>u</m:t>
        </m:r>
        <m:r>
          <m:t>l</m:t>
        </m:r>
        <m:r>
          <m:t>l</m:t>
        </m:r>
        <m:r>
          <m:rPr>
            <m:sty m:val="p"/>
          </m:rPr>
          <m:t>−</m:t>
        </m:r>
        <m:r>
          <m:t>y</m:t>
        </m:r>
        <m:r>
          <m:t>e</m:t>
        </m:r>
        <m:r>
          <m:t>a</m:t>
        </m:r>
        <m:r>
          <m:t>r</m:t>
        </m:r>
        <m:r>
          <m:t>F</m:t>
        </m:r>
        <m:r>
          <m:t>F</m:t>
        </m:r>
        <m:r>
          <m:t>O</m:t>
        </m:r>
        <m:r>
          <m:t>A</m:t>
        </m:r>
        <m:r>
          <m:t>g</m:t>
        </m:r>
        <m:r>
          <m:t>u</m:t>
        </m:r>
        <m:r>
          <m:t>i</m:t>
        </m:r>
        <m:r>
          <m:t>d</m:t>
        </m:r>
        <m:r>
          <m:t>a</m:t>
        </m:r>
        <m:r>
          <m:t>n</m:t>
        </m:r>
        <m:r>
          <m:t>c</m:t>
        </m:r>
        <m:r>
          <m:t>e</m:t>
        </m:r>
        <m:r>
          <m:t>s</m:t>
        </m:r>
        <m:r>
          <m:t>t</m:t>
        </m:r>
        <m:r>
          <m:t>a</m:t>
        </m:r>
        <m:r>
          <m:t>n</m:t>
        </m:r>
        <m:r>
          <m:t>d</m:t>
        </m:r>
        <m:r>
          <m:t>s</m:t>
        </m:r>
        <m:r>
          <m:t>a</m:t>
        </m:r>
        <m:r>
          <m:t>t</m:t>
        </m:r>
        <m:r>
          <m:rPr>
            <m:sty m:val="p"/>
          </m:rPr>
          <m:t>*</m:t>
        </m:r>
        <m:r>
          <m:rPr>
            <m:sty m:val="p"/>
          </m:rPr>
          <m:t>*</m:t>
        </m:r>
      </m:oMath>
      <w:r>
        <w:t xml:space="preserve">2.47–$2.57**, with the midpoint unchanged at</w:t>
      </w:r>
      <w:r>
        <w:t xml:space="preserve"> </w:t>
      </w:r>
      <m:oMath>
        <m:r>
          <m:t>2.52</m:t>
        </m:r>
        <m:r>
          <m:rPr>
            <m:sty m:val="p"/>
          </m:rPr>
          <m:t>.</m:t>
        </m:r>
        <m:r>
          <m:t>P</m:t>
        </m:r>
        <m:r>
          <m:t>u</m:t>
        </m:r>
        <m:r>
          <m:t>b</m:t>
        </m:r>
        <m:r>
          <m:t>l</m:t>
        </m:r>
        <m:r>
          <m:t>i</m:t>
        </m:r>
        <m:r>
          <m:t>s</m:t>
        </m:r>
        <m:r>
          <m:t>h</m:t>
        </m:r>
        <m:r>
          <m:t>e</m:t>
        </m:r>
        <m:r>
          <m:t>d</m:t>
        </m:r>
        <m:r>
          <m:t>e</m:t>
        </m:r>
        <m:r>
          <m:t>s</m:t>
        </m:r>
        <m:r>
          <m:t>t</m:t>
        </m:r>
        <m:r>
          <m:t>i</m:t>
        </m:r>
        <m:r>
          <m:t>m</m:t>
        </m:r>
        <m:r>
          <m:t>a</m:t>
        </m:r>
        <m:r>
          <m:t>t</m:t>
        </m:r>
        <m:r>
          <m:t>e</m:t>
        </m:r>
        <m:r>
          <m:t>s</m:t>
        </m:r>
        <m:r>
          <m:t>a</m:t>
        </m:r>
        <m:r>
          <m:t>p</m:t>
        </m:r>
        <m:r>
          <m:t>p</m:t>
        </m:r>
        <m:r>
          <m:t>e</m:t>
        </m:r>
        <m:r>
          <m:t>a</m:t>
        </m:r>
        <m:r>
          <m:t>r</m:t>
        </m:r>
        <m:r>
          <m:t>c</m:t>
        </m:r>
        <m:r>
          <m:t>l</m:t>
        </m:r>
        <m:r>
          <m:t>u</m:t>
        </m:r>
        <m:r>
          <m:t>s</m:t>
        </m:r>
        <m:r>
          <m:t>t</m:t>
        </m:r>
        <m:r>
          <m:t>e</m:t>
        </m:r>
        <m:r>
          <m:t>r</m:t>
        </m:r>
        <m:r>
          <m:t>e</m:t>
        </m:r>
        <m:r>
          <m:t>d</m:t>
        </m:r>
        <m:r>
          <m:t>a</m:t>
        </m:r>
        <m:r>
          <m:t>r</m:t>
        </m:r>
        <m:r>
          <m:t>o</m:t>
        </m:r>
        <m:r>
          <m:t>u</m:t>
        </m:r>
        <m:r>
          <m:t>n</m:t>
        </m:r>
        <m:r>
          <m:t>d</m:t>
        </m:r>
        <m:r>
          <m:rPr>
            <m:sty m:val="p"/>
          </m:rPr>
          <m:t>*</m:t>
        </m:r>
        <m:r>
          <m:rPr>
            <m:sty m:val="p"/>
          </m:rPr>
          <m:t>*</m:t>
        </m:r>
      </m:oMath>
      <w:r>
        <w:t xml:space="preserve">0.62–$0.63 of quarterly FFOA**, making an in-range result the base case. (</w:t>
      </w:r>
      <w:hyperlink r:id="rId10">
        <w:r>
          <w:rPr>
            <w:rStyle w:val="Hyperlink"/>
          </w:rPr>
          <w:t xml:space="preserve">sec.gov</w:t>
        </w:r>
      </w:hyperlink>
      <w:r>
        <w:t xml:space="preserve">)</w:t>
      </w:r>
    </w:p>
    <w:p>
      <w:pPr>
        <w:pStyle w:val="BodyText"/>
      </w:pPr>
      <w:r>
        <w:t xml:space="preserve">The stronger potential catalyst is operating guidance. UDR entered the quarter with wide full-year ranges: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2026 guidance</w:t>
            </w:r>
          </w:p>
        </w:tc>
        <w:tc>
          <w:tcPr/>
          <w:p>
            <w:pPr>
              <w:pStyle w:val="Compact"/>
              <w:jc w:val="right"/>
            </w:pPr>
            <w:r>
              <w:t xml:space="preserve">Range</w:t>
            </w:r>
          </w:p>
        </w:tc>
        <w:tc>
          <w:tcPr/>
          <w:p>
            <w:pPr>
              <w:pStyle w:val="Compact"/>
              <w:jc w:val="right"/>
            </w:pPr>
            <w:r>
              <w:t xml:space="preserve">Midpoint</w:t>
            </w:r>
          </w:p>
        </w:tc>
      </w:tr>
      <w:tr>
        <w:tc>
          <w:tcPr/>
          <w:p>
            <w:pPr>
              <w:pStyle w:val="Compact"/>
            </w:pPr>
            <w:r>
              <w:t xml:space="preserve">Same-store revenue growth</w:t>
            </w:r>
          </w:p>
        </w:tc>
        <w:tc>
          <w:tcPr/>
          <w:p>
            <w:pPr>
              <w:pStyle w:val="Compact"/>
              <w:jc w:val="right"/>
            </w:pPr>
            <w:r>
              <w:t xml:space="preserve">0.25%–2.25%</w:t>
            </w:r>
          </w:p>
        </w:tc>
        <w:tc>
          <w:tcPr/>
          <w:p>
            <w:pPr>
              <w:pStyle w:val="Compact"/>
              <w:jc w:val="right"/>
            </w:pPr>
            <w:r>
              <w:t xml:space="preserve">1.25%</w:t>
            </w:r>
          </w:p>
        </w:tc>
      </w:tr>
      <w:tr>
        <w:tc>
          <w:tcPr/>
          <w:p>
            <w:pPr>
              <w:pStyle w:val="Compact"/>
            </w:pPr>
            <w:r>
              <w:t xml:space="preserve">Same-store expense growth</w:t>
            </w:r>
          </w:p>
        </w:tc>
        <w:tc>
          <w:tcPr/>
          <w:p>
            <w:pPr>
              <w:pStyle w:val="Compact"/>
              <w:jc w:val="right"/>
            </w:pPr>
            <w:r>
              <w:t xml:space="preserve">3.0%–4.5%</w:t>
            </w:r>
          </w:p>
        </w:tc>
        <w:tc>
          <w:tcPr/>
          <w:p>
            <w:pPr>
              <w:pStyle w:val="Compact"/>
              <w:jc w:val="right"/>
            </w:pPr>
            <w:r>
              <w:t xml:space="preserve">3.75%</w:t>
            </w:r>
          </w:p>
        </w:tc>
      </w:tr>
      <w:tr>
        <w:tc>
          <w:tcPr/>
          <w:p>
            <w:pPr>
              <w:pStyle w:val="Compact"/>
            </w:pPr>
            <w:r>
              <w:t xml:space="preserve">Same-store NOI growth</w:t>
            </w:r>
          </w:p>
        </w:tc>
        <w:tc>
          <w:tcPr/>
          <w:p>
            <w:pPr>
              <w:pStyle w:val="Compact"/>
              <w:jc w:val="right"/>
            </w:pPr>
            <w:r>
              <w:t xml:space="preserve">(1.0)%–1.25%</w:t>
            </w:r>
          </w:p>
        </w:tc>
        <w:tc>
          <w:tcPr/>
          <w:p>
            <w:pPr>
              <w:pStyle w:val="Compact"/>
              <w:jc w:val="right"/>
            </w:pPr>
            <w:r>
              <w:t xml:space="preserve">0.125%</w:t>
            </w:r>
          </w:p>
        </w:tc>
      </w:tr>
      <w:tr>
        <w:tc>
          <w:tcPr/>
          <w:p>
            <w:pPr>
              <w:pStyle w:val="Compact"/>
            </w:pPr>
            <w:r>
              <w:t xml:space="preserve">FFOA per share</w:t>
            </w:r>
          </w:p>
        </w:tc>
        <w:tc>
          <w:tcPr/>
          <w:p>
            <w:pPr>
              <w:pStyle w:val="Compact"/>
              <w:jc w:val="right"/>
            </w:pPr>
            <m:oMath>
              <m:r>
                <m:t>2.47</m:t>
              </m:r>
              <m:r>
                <m:rPr>
                  <m:sty m:val="p"/>
                </m:rPr>
                <m:t>–</m:t>
              </m:r>
            </m:oMath>
            <w:r>
              <w:t xml:space="preserve">2.57</w:t>
            </w:r>
          </w:p>
        </w:tc>
        <w:tc>
          <w:tcPr/>
          <w:p>
            <w:pPr>
              <w:pStyle w:val="Compact"/>
              <w:jc w:val="right"/>
            </w:pPr>
            <w:r>
              <w:t xml:space="preserve">$2.52</w:t>
            </w:r>
          </w:p>
        </w:tc>
      </w:tr>
    </w:tbl>
    <w:p>
      <w:pPr>
        <w:pStyle w:val="BodyText"/>
      </w:pPr>
      <w:r>
        <w:t xml:space="preserve">Given recent peer results, the bias appears modestly positive for revenue and NOI guidance—although transaction timing and the shrinking debt-and-preferred-equity portfolio could limit any increase to FFOA guidance.</w:t>
      </w:r>
    </w:p>
    <w:p>
      <w:r>
        <w:pict>
          <v:rect style="width:0;height:1.5pt" o:hralign="center" o:hrstd="t" o:hr="t"/>
        </w:pict>
      </w:r>
    </w:p>
    <w:bookmarkEnd w:id="11"/>
    <w:bookmarkStart w:id="16" w:name="what-matters-most"/>
    <w:p>
      <w:pPr>
        <w:pStyle w:val="Heading2"/>
      </w:pPr>
      <w:r>
        <w:t xml:space="preserve">What matters most</w:t>
      </w:r>
    </w:p>
    <w:bookmarkStart w:id="13" w:name="Xe65a2d295f4c69bbb71b9462a969255f13d07c6"/>
    <w:p>
      <w:pPr>
        <w:pStyle w:val="Heading3"/>
      </w:pPr>
      <w:r>
        <w:t xml:space="preserve">1. Can UDR demonstrate accelerating lease-rate growth?</w:t>
      </w:r>
    </w:p>
    <w:p>
      <w:pPr>
        <w:pStyle w:val="FirstParagraph"/>
      </w:pPr>
      <w:r>
        <w:t xml:space="preserve">First-quarter effective blended lease growth was</w:t>
      </w:r>
      <w:r>
        <w:t xml:space="preserve"> </w:t>
      </w:r>
      <w:r>
        <w:rPr>
          <w:b/>
          <w:bCs/>
        </w:rPr>
        <w:t xml:space="preserve">1.6%</w:t>
      </w:r>
      <w:r>
        <w:t xml:space="preserve">, consisting of:</w:t>
      </w:r>
    </w:p>
    <w:p>
      <w:pPr>
        <w:pStyle w:val="Compact"/>
        <w:numPr>
          <w:ilvl w:val="0"/>
          <w:numId w:val="1001"/>
        </w:numPr>
      </w:pPr>
      <w:r>
        <w:rPr>
          <w:b/>
          <w:bCs/>
        </w:rPr>
        <w:t xml:space="preserve">New leases:</w:t>
      </w:r>
      <w:r>
        <w:t xml:space="preserve"> </w:t>
      </w:r>
      <w:r>
        <w:t xml:space="preserve">down 2.4%</w:t>
      </w:r>
    </w:p>
    <w:p>
      <w:pPr>
        <w:pStyle w:val="Compact"/>
        <w:numPr>
          <w:ilvl w:val="0"/>
          <w:numId w:val="1001"/>
        </w:numPr>
      </w:pPr>
      <w:r>
        <w:rPr>
          <w:b/>
          <w:bCs/>
        </w:rPr>
        <w:t xml:space="preserve">Renewals:</w:t>
      </w:r>
      <w:r>
        <w:t xml:space="preserve"> </w:t>
      </w:r>
      <w:r>
        <w:t xml:space="preserve">up 5.2%</w:t>
      </w:r>
    </w:p>
    <w:p>
      <w:pPr>
        <w:pStyle w:val="Compact"/>
        <w:numPr>
          <w:ilvl w:val="0"/>
          <w:numId w:val="1001"/>
        </w:numPr>
      </w:pPr>
      <w:r>
        <w:rPr>
          <w:b/>
          <w:bCs/>
        </w:rPr>
        <w:t xml:space="preserve">Occupancy:</w:t>
      </w:r>
      <w:r>
        <w:t xml:space="preserve"> </w:t>
      </w:r>
      <w:r>
        <w:t xml:space="preserve">96.6%</w:t>
      </w:r>
    </w:p>
    <w:p>
      <w:pPr>
        <w:pStyle w:val="Compact"/>
        <w:numPr>
          <w:ilvl w:val="0"/>
          <w:numId w:val="1001"/>
        </w:numPr>
      </w:pPr>
      <w:r>
        <w:rPr>
          <w:b/>
          <w:bCs/>
        </w:rPr>
        <w:t xml:space="preserve">Annualized turnover:</w:t>
      </w:r>
      <w:r>
        <w:t xml:space="preserve"> </w:t>
      </w:r>
      <w:r>
        <w:t xml:space="preserve">29%, versus 32% a year earlier</w:t>
      </w:r>
    </w:p>
    <w:p>
      <w:pPr>
        <w:pStyle w:val="FirstParagraph"/>
      </w:pPr>
      <w:r>
        <w:t xml:space="preserve">Management expected second-quarter blended growth of</w:t>
      </w:r>
      <w:r>
        <w:t xml:space="preserve"> </w:t>
      </w:r>
      <w:r>
        <w:rPr>
          <w:b/>
          <w:bCs/>
        </w:rPr>
        <w:t xml:space="preserve">1.5%–2.0%</w:t>
      </w:r>
      <w:r>
        <w:t xml:space="preserve"> </w:t>
      </w:r>
      <w:r>
        <w:t xml:space="preserve">and occupancy in the mid-96% range. It also said renewal offers through July were running around 5%–5.5%.</w:t>
      </w:r>
    </w:p>
    <w:p>
      <w:pPr>
        <w:pStyle w:val="BodyText"/>
      </w:pPr>
      <w:r>
        <w:t xml:space="preserve">Those targets now look conservative relative to the latest industry read-through. Equity Residential reported second-quarter blended growth of 2.8%, followed by a preliminary</w:t>
      </w:r>
      <w:r>
        <w:t xml:space="preserve"> </w:t>
      </w:r>
      <w:r>
        <w:rPr>
          <w:b/>
          <w:bCs/>
        </w:rPr>
        <w:t xml:space="preserve">3.0% in July</w:t>
      </w:r>
      <w:r>
        <w:t xml:space="preserve">, with new leases nearly flat and renewals close to 5%. It raised its same-store revenue and NOI guidance. AvalonBay also exceeded its operating expectations and raised its same-store outlook. (</w:t>
      </w:r>
      <w:hyperlink r:id="rId12">
        <w:r>
          <w:rPr>
            <w:rStyle w:val="Hyperlink"/>
          </w:rPr>
          <w:t xml:space="preserve">investors.avalonbay.com</w:t>
        </w:r>
      </w:hyperlink>
      <w:r>
        <w:t xml:space="preserve">)</w:t>
      </w:r>
    </w:p>
    <w:p>
      <w:pPr>
        <w:pStyle w:val="BodyText"/>
      </w:pPr>
      <w:r>
        <w:rPr>
          <w:b/>
          <w:bCs/>
        </w:rPr>
        <w:t xml:space="preserve">What would be encouraging for UDR:</w:t>
      </w:r>
    </w:p>
    <w:p>
      <w:pPr>
        <w:pStyle w:val="Compact"/>
        <w:numPr>
          <w:ilvl w:val="0"/>
          <w:numId w:val="1002"/>
        </w:numPr>
      </w:pPr>
      <w:r>
        <w:t xml:space="preserve">Q2 blended growth above 2%</w:t>
      </w:r>
    </w:p>
    <w:p>
      <w:pPr>
        <w:pStyle w:val="Compact"/>
        <w:numPr>
          <w:ilvl w:val="0"/>
          <w:numId w:val="1002"/>
        </w:numPr>
      </w:pPr>
      <w:r>
        <w:t xml:space="preserve">New-lease spreads improving toward zero</w:t>
      </w:r>
    </w:p>
    <w:p>
      <w:pPr>
        <w:pStyle w:val="Compact"/>
        <w:numPr>
          <w:ilvl w:val="0"/>
          <w:numId w:val="1002"/>
        </w:numPr>
      </w:pPr>
      <w:r>
        <w:t xml:space="preserve">Renewal growth holding around 5%</w:t>
      </w:r>
    </w:p>
    <w:p>
      <w:pPr>
        <w:pStyle w:val="Compact"/>
        <w:numPr>
          <w:ilvl w:val="0"/>
          <w:numId w:val="1002"/>
        </w:numPr>
      </w:pPr>
      <w:r>
        <w:t xml:space="preserve">July blended growth accelerating further</w:t>
      </w:r>
    </w:p>
    <w:p>
      <w:pPr>
        <w:pStyle w:val="Compact"/>
        <w:numPr>
          <w:ilvl w:val="0"/>
          <w:numId w:val="1002"/>
        </w:numPr>
      </w:pPr>
      <w:r>
        <w:t xml:space="preserve">Occupancy remaining near 96.5% despite management deliberately emphasizing rent over occupancy during peak leasing season</w:t>
      </w:r>
    </w:p>
    <w:p>
      <w:pPr>
        <w:pStyle w:val="FirstParagraph"/>
      </w:pPr>
      <w:r>
        <w:t xml:space="preserve">UDR has estimated that each additional percentage point of blended lease growth contributes roughly</w:t>
      </w:r>
      <w:r>
        <w:t xml:space="preserve"> </w:t>
      </w:r>
      <w:r>
        <w:rPr>
          <w:b/>
          <w:bCs/>
        </w:rPr>
        <w:t xml:space="preserve">$7 million of annual cash flow</w:t>
      </w:r>
      <w:r>
        <w:t xml:space="preserve">, so even modest upside matters.</w:t>
      </w:r>
    </w:p>
    <w:bookmarkEnd w:id="13"/>
    <w:bookmarkStart w:id="14" w:name="X52db20e60010de8e91546729c601fa781124f49"/>
    <w:p>
      <w:pPr>
        <w:pStyle w:val="Heading3"/>
      </w:pPr>
      <w:r>
        <w:t xml:space="preserve">2. Coastal strength versus continued Sunbelt pressure</w:t>
      </w:r>
    </w:p>
    <w:p>
      <w:pPr>
        <w:pStyle w:val="FirstParagraph"/>
      </w:pPr>
      <w:r>
        <w:t xml:space="preserve">UDR's geographic mix should be an advantage this quarter. Approximately three-quarters of portfolio NOI is generated in coastal regions, where demand is stronger and new supply is more constrained.</w:t>
      </w:r>
    </w:p>
    <w:p>
      <w:pPr>
        <w:pStyle w:val="BodyText"/>
      </w:pPr>
      <w:r>
        <w:t xml:space="preserve">At the last update:</w:t>
      </w:r>
    </w:p>
    <w:p>
      <w:pPr>
        <w:pStyle w:val="Compact"/>
        <w:numPr>
          <w:ilvl w:val="0"/>
          <w:numId w:val="1003"/>
        </w:numPr>
      </w:pPr>
      <w:r>
        <w:rPr>
          <w:b/>
          <w:bCs/>
        </w:rPr>
        <w:t xml:space="preserve">San Francisco</w:t>
      </w:r>
      <w:r>
        <w:t xml:space="preserve"> </w:t>
      </w:r>
      <w:r>
        <w:t xml:space="preserve">was the standout, with approximately 10% blended lease growth and high-97% occupancy.</w:t>
      </w:r>
    </w:p>
    <w:p>
      <w:pPr>
        <w:pStyle w:val="Compact"/>
        <w:numPr>
          <w:ilvl w:val="0"/>
          <w:numId w:val="1003"/>
        </w:numPr>
      </w:pPr>
      <w:r>
        <w:rPr>
          <w:b/>
          <w:bCs/>
        </w:rPr>
        <w:t xml:space="preserve">New York</w:t>
      </w:r>
      <w:r>
        <w:t xml:space="preserve"> </w:t>
      </w:r>
      <w:r>
        <w:t xml:space="preserve">was producing roughly 7% blended growth and occupancy above 98%.</w:t>
      </w:r>
    </w:p>
    <w:p>
      <w:pPr>
        <w:pStyle w:val="Compact"/>
        <w:numPr>
          <w:ilvl w:val="0"/>
          <w:numId w:val="1003"/>
        </w:numPr>
      </w:pPr>
      <w:r>
        <w:rPr>
          <w:b/>
          <w:bCs/>
        </w:rPr>
        <w:t xml:space="preserve">Orange County, Philadelphia and Southern California</w:t>
      </w:r>
      <w:r>
        <w:t xml:space="preserve"> </w:t>
      </w:r>
      <w:r>
        <w:t xml:space="preserve">were showing positive momentum.</w:t>
      </w:r>
    </w:p>
    <w:p>
      <w:pPr>
        <w:pStyle w:val="Compact"/>
        <w:numPr>
          <w:ilvl w:val="0"/>
          <w:numId w:val="1003"/>
        </w:numPr>
      </w:pPr>
      <w:r>
        <w:rPr>
          <w:b/>
          <w:bCs/>
        </w:rPr>
        <w:t xml:space="preserve">Dallas</w:t>
      </w:r>
      <w:r>
        <w:t xml:space="preserve"> </w:t>
      </w:r>
      <w:r>
        <w:t xml:space="preserve">was improving, but the wider Sunbelt portfolio remained pressured.</w:t>
      </w:r>
    </w:p>
    <w:p>
      <w:pPr>
        <w:pStyle w:val="Compact"/>
        <w:numPr>
          <w:ilvl w:val="0"/>
          <w:numId w:val="1003"/>
        </w:numPr>
      </w:pPr>
      <w:r>
        <w:t xml:space="preserve">Florida and Nashville had softened during April.</w:t>
      </w:r>
    </w:p>
    <w:p>
      <w:pPr>
        <w:pStyle w:val="FirstParagraph"/>
      </w:pPr>
      <w:r>
        <w:t xml:space="preserve">Peer results reinforce this divide. Equity Residential's San Francisco same-store revenue grew 7% in Q2 and NOI increased 11%, while Denver and parts of the Sunbelt remained materially weaker.</w:t>
      </w:r>
    </w:p>
    <w:p>
      <w:pPr>
        <w:pStyle w:val="BodyText"/>
      </w:pPr>
      <w:r>
        <w:t xml:space="preserve">For UDR, the key question is whether San Francisco and New York are now strong enough to offset:</w:t>
      </w:r>
    </w:p>
    <w:p>
      <w:pPr>
        <w:pStyle w:val="Compact"/>
        <w:numPr>
          <w:ilvl w:val="0"/>
          <w:numId w:val="1004"/>
        </w:numPr>
      </w:pPr>
      <w:r>
        <w:t xml:space="preserve">Negative new-lease spreads in Florida and Nashville</w:t>
      </w:r>
    </w:p>
    <w:p>
      <w:pPr>
        <w:pStyle w:val="Compact"/>
        <w:numPr>
          <w:ilvl w:val="0"/>
          <w:numId w:val="1004"/>
        </w:numPr>
      </w:pPr>
      <w:r>
        <w:t xml:space="preserve">Ongoing supply pressure in Austin</w:t>
      </w:r>
    </w:p>
    <w:p>
      <w:pPr>
        <w:pStyle w:val="Compact"/>
        <w:numPr>
          <w:ilvl w:val="0"/>
          <w:numId w:val="1004"/>
        </w:numPr>
      </w:pPr>
      <w:r>
        <w:t xml:space="preserve">Weak year-over-year revenue and NOI comparisons across the Southeast</w:t>
      </w:r>
    </w:p>
    <w:p>
      <w:pPr>
        <w:pStyle w:val="Compact"/>
        <w:numPr>
          <w:ilvl w:val="0"/>
          <w:numId w:val="1004"/>
        </w:numPr>
      </w:pPr>
      <w:r>
        <w:t xml:space="preserve">Slower recovery in Washington, D.C., Los Angeles and Seattle</w:t>
      </w:r>
    </w:p>
    <w:p>
      <w:pPr>
        <w:pStyle w:val="FirstParagraph"/>
      </w:pPr>
      <w:r>
        <w:t xml:space="preserve">A bullish report would show coastal acceleration plus stabilization—not necessarily strong growth—in the Sunbelt.</w:t>
      </w:r>
    </w:p>
    <w:bookmarkEnd w:id="14"/>
    <w:bookmarkStart w:id="15" w:name="X8ef64db58deb4288a4005acc7549147d27cbe49"/>
    <w:p>
      <w:pPr>
        <w:pStyle w:val="Heading3"/>
      </w:pPr>
      <w:r>
        <w:t xml:space="preserve">3. Expense normalization may provide the easiest source of upside</w:t>
      </w:r>
    </w:p>
    <w:p>
      <w:pPr>
        <w:pStyle w:val="FirstParagraph"/>
      </w:pPr>
      <w:r>
        <w:t xml:space="preserve">UDR's first-quarter same-store expenses rose</w:t>
      </w:r>
      <w:r>
        <w:t xml:space="preserve"> </w:t>
      </w:r>
      <w:r>
        <w:rPr>
          <w:b/>
          <w:bCs/>
        </w:rPr>
        <w:t xml:space="preserve">4.4%</w:t>
      </w:r>
      <w:r>
        <w:t xml:space="preserve">, suppressing NOI growth to negative 0.8%. Approximately $1.4 million of unusual winter-weather expense inflated the quarter; management estimated normalized expense growth would have been roughly one percentage point lower.</w:t>
      </w:r>
    </w:p>
    <w:p>
      <w:pPr>
        <w:pStyle w:val="BodyText"/>
      </w:pPr>
      <w:r>
        <w:t xml:space="preserve">This creates a favorable setup for Q2. The market should focus on:</w:t>
      </w:r>
    </w:p>
    <w:p>
      <w:pPr>
        <w:pStyle w:val="Compact"/>
        <w:numPr>
          <w:ilvl w:val="0"/>
          <w:numId w:val="1005"/>
        </w:numPr>
      </w:pPr>
      <w:r>
        <w:t xml:space="preserve">Utilities and repair-and-maintenance expense</w:t>
      </w:r>
    </w:p>
    <w:p>
      <w:pPr>
        <w:pStyle w:val="Compact"/>
        <w:numPr>
          <w:ilvl w:val="0"/>
          <w:numId w:val="1005"/>
        </w:numPr>
      </w:pPr>
      <w:r>
        <w:t xml:space="preserve">Insurance trends</w:t>
      </w:r>
    </w:p>
    <w:p>
      <w:pPr>
        <w:pStyle w:val="Compact"/>
        <w:numPr>
          <w:ilvl w:val="0"/>
          <w:numId w:val="1005"/>
        </w:numPr>
      </w:pPr>
      <w:r>
        <w:t xml:space="preserve">Personnel savings from lower resident turnover</w:t>
      </w:r>
    </w:p>
    <w:p>
      <w:pPr>
        <w:pStyle w:val="Compact"/>
        <w:numPr>
          <w:ilvl w:val="0"/>
          <w:numId w:val="1005"/>
        </w:numPr>
      </w:pPr>
      <w:r>
        <w:t xml:space="preserve">Whether innovation income is more than offsetting costs associated with Wi-Fi, package services and other resident programs</w:t>
      </w:r>
    </w:p>
    <w:p>
      <w:pPr>
        <w:pStyle w:val="Compact"/>
        <w:numPr>
          <w:ilvl w:val="0"/>
          <w:numId w:val="1005"/>
        </w:numPr>
      </w:pPr>
      <w:r>
        <w:t xml:space="preserve">Any change to the 3.0%–4.5% full-year expense range</w:t>
      </w:r>
    </w:p>
    <w:p>
      <w:pPr>
        <w:pStyle w:val="FirstParagraph"/>
      </w:pPr>
      <w:r>
        <w:t xml:space="preserve">Peer expense results were encouraging: both Equity Residential and AvalonBay reported approximately 3% second-quarter same-store expense growth, better than their first-quarter trends. (</w:t>
      </w:r>
      <w:hyperlink r:id="rId12">
        <w:r>
          <w:rPr>
            <w:rStyle w:val="Hyperlink"/>
          </w:rPr>
          <w:t xml:space="preserve">investors.avalonbay.com</w:t>
        </w:r>
      </w:hyperlink>
      <w:r>
        <w:t xml:space="preserve">)</w:t>
      </w:r>
    </w:p>
    <w:p>
      <w:pPr>
        <w:pStyle w:val="BodyText"/>
      </w:pPr>
      <w:r>
        <w:t xml:space="preserve">If UDR reports expense growth near the low end of its range while revenue accelerates, same-store NOI guidance could move meaningfully higher even without a major change in leasing assumptions.</w:t>
      </w:r>
    </w:p>
    <w:p>
      <w:r>
        <w:pict>
          <v:rect style="width:0;height:1.5pt" o:hralign="center" o:hrstd="t" o:hr="t"/>
        </w:pict>
      </w:r>
    </w:p>
    <w:bookmarkEnd w:id="15"/>
    <w:bookmarkEnd w:id="16"/>
    <w:bookmarkStart w:id="20" w:name="X1a171443eedd7ebe5a0371fae19582bae23f8d3"/>
    <w:p>
      <w:pPr>
        <w:pStyle w:val="Heading2"/>
      </w:pPr>
      <w:r>
        <w:t xml:space="preserve">Capital allocation is the second major story</w:t>
      </w:r>
    </w:p>
    <w:bookmarkStart w:id="17" w:name="buybacks"/>
    <w:p>
      <w:pPr>
        <w:pStyle w:val="Heading3"/>
      </w:pPr>
      <w:r>
        <w:t xml:space="preserve">Buybacks</w:t>
      </w:r>
    </w:p>
    <w:p>
      <w:pPr>
        <w:pStyle w:val="FirstParagraph"/>
      </w:pPr>
      <w:r>
        <w:t xml:space="preserve">Through the first-quarter report, UDR had repurchased approximately</w:t>
      </w:r>
      <w:r>
        <w:t xml:space="preserve"> </w:t>
      </w:r>
      <w:r>
        <w:rPr>
          <w:b/>
          <w:bCs/>
        </w:rPr>
        <w:t xml:space="preserve">$268 million</w:t>
      </w:r>
      <w:r>
        <w:t xml:space="preserve"> </w:t>
      </w:r>
      <w:r>
        <w:t xml:space="preserve">of stock since September 2025, including $150 million during and shortly after Q1 at a weighted-average price of roughly $35.84.</w:t>
      </w:r>
    </w:p>
    <w:p>
      <w:pPr>
        <w:pStyle w:val="BodyText"/>
      </w:pPr>
      <w:r>
        <w:t xml:space="preserve">The board subsequently expanded the authorization by 25 million shares, leaving capacity for approximately</w:t>
      </w:r>
      <w:r>
        <w:t xml:space="preserve"> </w:t>
      </w:r>
      <w:r>
        <w:rPr>
          <w:b/>
          <w:bCs/>
        </w:rPr>
        <w:t xml:space="preserve">30 million shares</w:t>
      </w:r>
      <w:r>
        <w:t xml:space="preserve">, or more than $1 billion at the stock price prevailing when announced.</w:t>
      </w:r>
    </w:p>
    <w:p>
      <w:pPr>
        <w:pStyle w:val="BodyText"/>
      </w:pPr>
      <w:r>
        <w:t xml:space="preserve">Investors should look for:</w:t>
      </w:r>
    </w:p>
    <w:p>
      <w:pPr>
        <w:pStyle w:val="Compact"/>
        <w:numPr>
          <w:ilvl w:val="0"/>
          <w:numId w:val="1006"/>
        </w:numPr>
      </w:pPr>
      <w:r>
        <w:t xml:space="preserve">How much stock UDR repurchased during the remainder of Q2.</w:t>
      </w:r>
    </w:p>
    <w:p>
      <w:pPr>
        <w:pStyle w:val="Compact"/>
        <w:numPr>
          <w:ilvl w:val="0"/>
          <w:numId w:val="1006"/>
        </w:numPr>
      </w:pPr>
      <w:r>
        <w:t xml:space="preserve">The average repurchase price.</w:t>
      </w:r>
    </w:p>
    <w:p>
      <w:pPr>
        <w:pStyle w:val="Compact"/>
        <w:numPr>
          <w:ilvl w:val="0"/>
          <w:numId w:val="1006"/>
        </w:numPr>
      </w:pPr>
      <w:r>
        <w:t xml:space="preserve">Whether repurchases continued after the stock moved toward $40.</w:t>
      </w:r>
    </w:p>
    <w:p>
      <w:pPr>
        <w:pStyle w:val="Compact"/>
        <w:numPr>
          <w:ilvl w:val="0"/>
          <w:numId w:val="1006"/>
        </w:numPr>
      </w:pPr>
      <w:r>
        <w:t xml:space="preserve">How much additional asset-sale capital management is willing to deploy into the stock.</w:t>
      </w:r>
    </w:p>
    <w:p>
      <w:pPr>
        <w:pStyle w:val="FirstParagraph"/>
      </w:pPr>
      <w:r>
        <w:t xml:space="preserve">The shares closed July 24 at approximately</w:t>
      </w:r>
      <w:r>
        <w:t xml:space="preserve"> </w:t>
      </w:r>
      <w:r>
        <w:rPr>
          <w:b/>
          <w:bCs/>
        </w:rPr>
        <w:t xml:space="preserve">$39.60</w:t>
      </w:r>
      <w:r>
        <w:t xml:space="preserve">, above UDR's earlier repurchase prices. Buybacks remain potentially accretive, but the valuation arbitrage is less compelling than it was around $35.</w:t>
      </w:r>
    </w:p>
    <w:bookmarkEnd w:id="17"/>
    <w:bookmarkStart w:id="18" w:name="asset-sales-and-acquisitions"/>
    <w:p>
      <w:pPr>
        <w:pStyle w:val="Heading3"/>
      </w:pPr>
      <w:r>
        <w:t xml:space="preserve">Asset sales and acquisitions</w:t>
      </w:r>
    </w:p>
    <w:p>
      <w:pPr>
        <w:pStyle w:val="FirstParagraph"/>
      </w:pPr>
      <w:r>
        <w:t xml:space="preserve">UDR sold four older communities in Q1 for</w:t>
      </w:r>
      <w:r>
        <w:t xml:space="preserve"> </w:t>
      </w:r>
      <w:r>
        <w:rPr>
          <w:b/>
          <w:bCs/>
        </w:rPr>
        <w:t xml:space="preserve">$362 million</w:t>
      </w:r>
      <w:r>
        <w:t xml:space="preserve">, at approximately a mid-5% cap rate. Management described the assets as having lower expected growth and higher capital needs than the retained portfolio.</w:t>
      </w:r>
    </w:p>
    <w:p>
      <w:pPr>
        <w:pStyle w:val="BodyText"/>
      </w:pPr>
      <w:r>
        <w:t xml:space="preserve">Full-year disposition guidance is</w:t>
      </w:r>
      <w:r>
        <w:t xml:space="preserve"> </w:t>
      </w:r>
      <m:oMath>
        <m:r>
          <m:t>360</m:t>
        </m:r>
        <m:r>
          <m:rPr>
            <m:sty m:val="p"/>
          </m:rPr>
          <m:t>–</m:t>
        </m:r>
      </m:oMath>
      <w:r>
        <w:t xml:space="preserve">600 million, meaning UDR had already reached the bottom of the range. Management also said additional assets were being marketed.</w:t>
      </w:r>
    </w:p>
    <w:p>
      <w:pPr>
        <w:pStyle w:val="BodyText"/>
      </w:pPr>
      <w:r>
        <w:t xml:space="preserve">Items to watch:</w:t>
      </w:r>
    </w:p>
    <w:p>
      <w:pPr>
        <w:pStyle w:val="Compact"/>
        <w:numPr>
          <w:ilvl w:val="0"/>
          <w:numId w:val="1007"/>
        </w:numPr>
      </w:pPr>
      <w:r>
        <w:t xml:space="preserve">Any increase to disposition guidance</w:t>
      </w:r>
    </w:p>
    <w:p>
      <w:pPr>
        <w:pStyle w:val="Compact"/>
        <w:numPr>
          <w:ilvl w:val="0"/>
          <w:numId w:val="1007"/>
        </w:numPr>
      </w:pPr>
      <w:r>
        <w:t xml:space="preserve">Pricing and buyer depth despite higher interest rates</w:t>
      </w:r>
    </w:p>
    <w:p>
      <w:pPr>
        <w:pStyle w:val="Compact"/>
        <w:numPr>
          <w:ilvl w:val="0"/>
          <w:numId w:val="1007"/>
        </w:numPr>
      </w:pPr>
      <w:r>
        <w:t xml:space="preserve">Whether proceeds are allocated to buybacks, debt reduction or acquisitions</w:t>
      </w:r>
    </w:p>
    <w:p>
      <w:pPr>
        <w:pStyle w:val="Compact"/>
        <w:numPr>
          <w:ilvl w:val="0"/>
          <w:numId w:val="1007"/>
        </w:numPr>
      </w:pPr>
      <w:r>
        <w:t xml:space="preserve">Progress on the second planned Portland acquisition</w:t>
      </w:r>
    </w:p>
    <w:p>
      <w:pPr>
        <w:pStyle w:val="Compact"/>
        <w:numPr>
          <w:ilvl w:val="0"/>
          <w:numId w:val="1007"/>
        </w:numPr>
      </w:pPr>
      <w:r>
        <w:t xml:space="preserve">Updated operating results from the first Portland property</w:t>
      </w:r>
    </w:p>
    <w:p>
      <w:pPr>
        <w:pStyle w:val="FirstParagraph"/>
      </w:pPr>
      <w:r>
        <w:t xml:space="preserve">Management expects the Portland communities to generate stabilized yields in the high-5% range and believes operating margins can improve by 300–400 basis points over 12–18 months.</w:t>
      </w:r>
    </w:p>
    <w:bookmarkEnd w:id="18"/>
    <w:bookmarkStart w:id="19" w:name="debt-and-preferred-equity-runoff"/>
    <w:p>
      <w:pPr>
        <w:pStyle w:val="Heading3"/>
      </w:pPr>
      <w:r>
        <w:t xml:space="preserve">Debt and preferred equity runoff</w:t>
      </w:r>
    </w:p>
    <w:p>
      <w:pPr>
        <w:pStyle w:val="FirstParagraph"/>
      </w:pPr>
      <w:r>
        <w:t xml:space="preserve">UDR's debt-and-preferred-equity balance was in the high-$300 million range after Q1, with management targeting approximately $300 million by year-end. This runoff releases capital but reduces a portfolio earning a weighted contractual return of approximately 10%.</w:t>
      </w:r>
    </w:p>
    <w:p>
      <w:pPr>
        <w:pStyle w:val="BodyText"/>
      </w:pPr>
      <w:r>
        <w:t xml:space="preserve">That trade-off is important:</w:t>
      </w:r>
    </w:p>
    <w:p>
      <w:pPr>
        <w:pStyle w:val="Compact"/>
        <w:numPr>
          <w:ilvl w:val="0"/>
          <w:numId w:val="1008"/>
        </w:numPr>
      </w:pPr>
      <w:r>
        <w:rPr>
          <w:b/>
          <w:bCs/>
        </w:rPr>
        <w:t xml:space="preserve">Positive:</w:t>
      </w:r>
      <w:r>
        <w:t xml:space="preserve"> </w:t>
      </w:r>
      <w:r>
        <w:t xml:space="preserve">capital can fund discounted stock repurchases and direct ownership of selected assets.</w:t>
      </w:r>
    </w:p>
    <w:p>
      <w:pPr>
        <w:pStyle w:val="Compact"/>
        <w:numPr>
          <w:ilvl w:val="0"/>
          <w:numId w:val="1008"/>
        </w:numPr>
      </w:pPr>
      <w:r>
        <w:rPr>
          <w:b/>
          <w:bCs/>
        </w:rPr>
        <w:t xml:space="preserve">Negative:</w:t>
      </w:r>
      <w:r>
        <w:t xml:space="preserve"> </w:t>
      </w:r>
      <w:r>
        <w:t xml:space="preserve">lower investment income can offset part of the per-share benefit from buybacks.</w:t>
      </w:r>
    </w:p>
    <w:p>
      <w:pPr>
        <w:pStyle w:val="FirstParagraph"/>
      </w:pPr>
      <w:r>
        <w:t xml:space="preserve">A full-year FFOA increase therefore requires more than strong property operations; transaction timing and investment-income replacement also matter.</w:t>
      </w:r>
    </w:p>
    <w:p>
      <w:r>
        <w:pict>
          <v:rect style="width:0;height:1.5pt" o:hralign="center" o:hrstd="t" o:hr="t"/>
        </w:pict>
      </w:r>
    </w:p>
    <w:bookmarkEnd w:id="19"/>
    <w:bookmarkEnd w:id="20"/>
    <w:bookmarkStart w:id="21" w:name="balance-sheet-and-development"/>
    <w:p>
      <w:pPr>
        <w:pStyle w:val="Heading2"/>
      </w:pPr>
      <w:r>
        <w:t xml:space="preserve">Balance sheet and development</w:t>
      </w:r>
    </w:p>
    <w:p>
      <w:pPr>
        <w:pStyle w:val="FirstParagraph"/>
      </w:pPr>
      <w:r>
        <w:t xml:space="preserve">UDR entered the quarter with:</w:t>
      </w:r>
    </w:p>
    <w:p>
      <w:pPr>
        <w:pStyle w:val="Compact"/>
        <w:numPr>
          <w:ilvl w:val="0"/>
          <w:numId w:val="1009"/>
        </w:numPr>
      </w:pPr>
      <w:r>
        <w:t xml:space="preserve">Approximately</w:t>
      </w:r>
      <w:r>
        <w:t xml:space="preserve"> </w:t>
      </w:r>
      <w:r>
        <w:rPr>
          <w:b/>
          <w:bCs/>
        </w:rPr>
        <w:t xml:space="preserve">$5.7 billion of debt</w:t>
      </w:r>
    </w:p>
    <w:p>
      <w:pPr>
        <w:pStyle w:val="Compact"/>
        <w:numPr>
          <w:ilvl w:val="0"/>
          <w:numId w:val="1009"/>
        </w:numPr>
      </w:pPr>
      <w:r>
        <w:t xml:space="preserve">A 3.4% weighted-average interest rate</w:t>
      </w:r>
    </w:p>
    <w:p>
      <w:pPr>
        <w:pStyle w:val="Compact"/>
        <w:numPr>
          <w:ilvl w:val="0"/>
          <w:numId w:val="1009"/>
        </w:numPr>
      </w:pPr>
      <w:r>
        <w:t xml:space="preserve">4.3 years of weighted-average maturity</w:t>
      </w:r>
    </w:p>
    <w:p>
      <w:pPr>
        <w:pStyle w:val="Compact"/>
        <w:numPr>
          <w:ilvl w:val="0"/>
          <w:numId w:val="1009"/>
        </w:numPr>
      </w:pPr>
      <w:r>
        <w:t xml:space="preserve">Net debt to adjusted EBITDAre of 5.6x</w:t>
      </w:r>
    </w:p>
    <w:p>
      <w:pPr>
        <w:pStyle w:val="Compact"/>
        <w:numPr>
          <w:ilvl w:val="0"/>
          <w:numId w:val="1009"/>
        </w:numPr>
      </w:pPr>
      <w:r>
        <w:t xml:space="preserve">More than $1 billion of liquidity</w:t>
      </w:r>
    </w:p>
    <w:p>
      <w:pPr>
        <w:pStyle w:val="Compact"/>
        <w:numPr>
          <w:ilvl w:val="0"/>
          <w:numId w:val="1009"/>
        </w:numPr>
      </w:pPr>
      <w:r>
        <w:t xml:space="preserve">Roughly $355 million of consolidated debt maturing during the remainder of 2026</w:t>
      </w:r>
    </w:p>
    <w:p>
      <w:pPr>
        <w:pStyle w:val="FirstParagraph"/>
      </w:pPr>
      <w:r>
        <w:t xml:space="preserve">The balance sheet is adequate for the strategy, but not as conservatively leveraged as some coastal peers. Investors should monitor whether buybacks keep leverage around the mid-5x area or cause it to rise.</w:t>
      </w:r>
    </w:p>
    <w:p>
      <w:pPr>
        <w:pStyle w:val="BodyText"/>
      </w:pPr>
      <w:r>
        <w:t xml:space="preserve">UDR's 300-unit Riverside, California development,</w:t>
      </w:r>
      <w:r>
        <w:t xml:space="preserve"> </w:t>
      </w:r>
      <w:r>
        <w:rPr>
          <w:b/>
          <w:bCs/>
        </w:rPr>
        <w:t xml:space="preserve">3099 Iowa</w:t>
      </w:r>
      <w:r>
        <w:t xml:space="preserve">, was ahead of schedule and under budget at the last update, with initial occupancy expected in Q4 2026. Any further schedule improvement would be positive, though it is unlikely to materially affect near-term earnings.</w:t>
      </w:r>
    </w:p>
    <w:p>
      <w:pPr>
        <w:pStyle w:val="BodyText"/>
      </w:pPr>
      <w:r>
        <w:t xml:space="preserve">Management could also discuss activating land adjacent to existing communities. Potential projects were previously described as capable of generating development yields above 6%, but buybacks probably remain the preferred use of capital while the stock trades below management's estimate of private-market value.</w:t>
      </w:r>
    </w:p>
    <w:p>
      <w:r>
        <w:pict>
          <v:rect style="width:0;height:1.5pt" o:hralign="center" o:hrstd="t" o:hr="t"/>
        </w:pict>
      </w:r>
    </w:p>
    <w:bookmarkEnd w:id="21"/>
    <w:bookmarkStart w:id="26" w:name="guidance-where-upside-is-most-plausible"/>
    <w:p>
      <w:pPr>
        <w:pStyle w:val="Heading2"/>
      </w:pPr>
      <w:r>
        <w:t xml:space="preserve">Guidance: where upside is most plausible</w:t>
      </w:r>
    </w:p>
    <w:bookmarkStart w:id="22" w:name="same-store-revenue"/>
    <w:p>
      <w:pPr>
        <w:pStyle w:val="Heading3"/>
      </w:pPr>
      <w:r>
        <w:t xml:space="preserve">Same-store revenue</w:t>
      </w:r>
    </w:p>
    <w:p>
      <w:pPr>
        <w:pStyle w:val="FirstParagraph"/>
      </w:pPr>
      <w:r>
        <w:rPr>
          <w:b/>
          <w:bCs/>
        </w:rPr>
        <w:t xml:space="preserve">Bias: modestly positive.</w:t>
      </w:r>
    </w:p>
    <w:p>
      <w:pPr>
        <w:pStyle w:val="BodyText"/>
      </w:pPr>
      <w:r>
        <w:t xml:space="preserve">Coastal market acceleration, strong retention and peer results support a tighter or higher revenue range. UDR does not need meaningful second-half lease acceleration to achieve its current midpoint.</w:t>
      </w:r>
    </w:p>
    <w:bookmarkEnd w:id="22"/>
    <w:bookmarkStart w:id="23" w:name="same-store-expenses"/>
    <w:p>
      <w:pPr>
        <w:pStyle w:val="Heading3"/>
      </w:pPr>
      <w:r>
        <w:t xml:space="preserve">Same-store expenses</w:t>
      </w:r>
    </w:p>
    <w:p>
      <w:pPr>
        <w:pStyle w:val="FirstParagraph"/>
      </w:pPr>
      <w:r>
        <w:rPr>
          <w:b/>
          <w:bCs/>
        </w:rPr>
        <w:t xml:space="preserve">Bias: neutral to modestly positive.</w:t>
      </w:r>
    </w:p>
    <w:p>
      <w:pPr>
        <w:pStyle w:val="BodyText"/>
      </w:pPr>
      <w:r>
        <w:t xml:space="preserve">Q1 weather costs should normalize. The major risks are utilities, repairs and insurance.</w:t>
      </w:r>
    </w:p>
    <w:bookmarkEnd w:id="23"/>
    <w:bookmarkStart w:id="24" w:name="same-store-noi"/>
    <w:p>
      <w:pPr>
        <w:pStyle w:val="Heading3"/>
      </w:pPr>
      <w:r>
        <w:t xml:space="preserve">Same-store NOI</w:t>
      </w:r>
    </w:p>
    <w:p>
      <w:pPr>
        <w:pStyle w:val="FirstParagraph"/>
      </w:pPr>
      <w:r>
        <w:rPr>
          <w:b/>
          <w:bCs/>
        </w:rPr>
        <w:t xml:space="preserve">Bias: positive.</w:t>
      </w:r>
    </w:p>
    <w:p>
      <w:pPr>
        <w:pStyle w:val="BodyText"/>
      </w:pPr>
      <w:r>
        <w:t xml:space="preserve">The existing midpoint is barely positive. Even a modest combination of better revenue and lower expense growth could lift it materially.</w:t>
      </w:r>
    </w:p>
    <w:bookmarkEnd w:id="24"/>
    <w:bookmarkStart w:id="25" w:name="ffoa-per-share"/>
    <w:p>
      <w:pPr>
        <w:pStyle w:val="Heading3"/>
      </w:pPr>
      <w:r>
        <w:t xml:space="preserve">FFOA per share</w:t>
      </w:r>
    </w:p>
    <w:p>
      <w:pPr>
        <w:pStyle w:val="FirstParagraph"/>
      </w:pPr>
      <w:r>
        <w:rPr>
          <w:b/>
          <w:bCs/>
        </w:rPr>
        <w:t xml:space="preserve">Bias: less clear.</w:t>
      </w:r>
    </w:p>
    <w:p>
      <w:pPr>
        <w:pStyle w:val="BodyText"/>
      </w:pPr>
      <w:r>
        <w:t xml:space="preserve">A guidance increase is possible, but management must balance:</w:t>
      </w:r>
    </w:p>
    <w:p>
      <w:pPr>
        <w:pStyle w:val="Compact"/>
        <w:numPr>
          <w:ilvl w:val="0"/>
          <w:numId w:val="1010"/>
        </w:numPr>
      </w:pPr>
      <w:r>
        <w:t xml:space="preserve">Better same-store NOI</w:t>
      </w:r>
    </w:p>
    <w:p>
      <w:pPr>
        <w:pStyle w:val="Compact"/>
        <w:numPr>
          <w:ilvl w:val="0"/>
          <w:numId w:val="1010"/>
        </w:numPr>
      </w:pPr>
      <w:r>
        <w:t xml:space="preserve">Buyback accretion</w:t>
      </w:r>
    </w:p>
    <w:p>
      <w:pPr>
        <w:pStyle w:val="Compact"/>
        <w:numPr>
          <w:ilvl w:val="0"/>
          <w:numId w:val="1010"/>
        </w:numPr>
      </w:pPr>
      <w:r>
        <w:t xml:space="preserve">Lower share count</w:t>
      </w:r>
    </w:p>
    <w:p>
      <w:pPr>
        <w:pStyle w:val="FirstParagraph"/>
      </w:pPr>
      <w:r>
        <w:t xml:space="preserve">against:</w:t>
      </w:r>
    </w:p>
    <w:p>
      <w:pPr>
        <w:pStyle w:val="Compact"/>
        <w:numPr>
          <w:ilvl w:val="0"/>
          <w:numId w:val="1011"/>
        </w:numPr>
      </w:pPr>
      <w:r>
        <w:t xml:space="preserve">Lost NOI from dispositions</w:t>
      </w:r>
    </w:p>
    <w:p>
      <w:pPr>
        <w:pStyle w:val="Compact"/>
        <w:numPr>
          <w:ilvl w:val="0"/>
          <w:numId w:val="1011"/>
        </w:numPr>
      </w:pPr>
      <w:r>
        <w:t xml:space="preserve">Reduced debt-and-preferred-equity income</w:t>
      </w:r>
    </w:p>
    <w:p>
      <w:pPr>
        <w:pStyle w:val="Compact"/>
        <w:numPr>
          <w:ilvl w:val="0"/>
          <w:numId w:val="1011"/>
        </w:numPr>
      </w:pPr>
      <w:r>
        <w:t xml:space="preserve">Higher interest rates on refinancings</w:t>
      </w:r>
    </w:p>
    <w:p>
      <w:pPr>
        <w:pStyle w:val="Compact"/>
        <w:numPr>
          <w:ilvl w:val="0"/>
          <w:numId w:val="1011"/>
        </w:numPr>
      </w:pPr>
      <w:r>
        <w:t xml:space="preserve">Acquisition and transaction timing</w:t>
      </w:r>
    </w:p>
    <w:p>
      <w:pPr>
        <w:pStyle w:val="FirstParagraph"/>
      </w:pPr>
      <w:r>
        <w:t xml:space="preserve">A report that raises same-store guidance while merely maintaining FFOA guidance should not automatically be viewed negatively.</w:t>
      </w:r>
    </w:p>
    <w:p>
      <w:r>
        <w:pict>
          <v:rect style="width:0;height:1.5pt" o:hralign="center" o:hrstd="t" o:hr="t"/>
        </w:pict>
      </w:r>
    </w:p>
    <w:bookmarkEnd w:id="25"/>
    <w:bookmarkEnd w:id="26"/>
    <w:bookmarkStart w:id="28" w:name="valuation-and-expectations"/>
    <w:p>
      <w:pPr>
        <w:pStyle w:val="Heading2"/>
      </w:pPr>
      <w:r>
        <w:t xml:space="preserve">Valuation and expectations</w:t>
      </w:r>
    </w:p>
    <w:p>
      <w:pPr>
        <w:pStyle w:val="FirstParagraph"/>
      </w:pPr>
      <w:r>
        <w:t xml:space="preserve">At the July 24 close of approximately $39.60, UDR trades at roughly:</w:t>
      </w:r>
    </w:p>
    <w:p>
      <w:pPr>
        <w:pStyle w:val="Compact"/>
        <w:numPr>
          <w:ilvl w:val="0"/>
          <w:numId w:val="1012"/>
        </w:numPr>
      </w:pPr>
      <w:r>
        <w:rPr>
          <w:b/>
          <w:bCs/>
        </w:rPr>
        <w:t xml:space="preserve">15.7x</w:t>
      </w:r>
      <w:r>
        <w:t xml:space="preserve"> </w:t>
      </w:r>
      <w:r>
        <w:t xml:space="preserve">the $2.52 midpoint of 2026 FFOA guidance</w:t>
      </w:r>
    </w:p>
    <w:p>
      <w:pPr>
        <w:pStyle w:val="Compact"/>
        <w:numPr>
          <w:ilvl w:val="0"/>
          <w:numId w:val="1012"/>
        </w:numPr>
      </w:pPr>
      <w:r>
        <w:t xml:space="preserve">A</w:t>
      </w:r>
      <w:r>
        <w:t xml:space="preserve"> </w:t>
      </w:r>
      <w:r>
        <w:rPr>
          <w:b/>
          <w:bCs/>
        </w:rPr>
        <w:t xml:space="preserve">4.4% dividend yield</w:t>
      </w:r>
      <w:r>
        <w:t xml:space="preserve"> </w:t>
      </w:r>
      <w:r>
        <w:t xml:space="preserve">based on the $1.74 annualized dividend</w:t>
      </w:r>
    </w:p>
    <w:p>
      <w:pPr>
        <w:pStyle w:val="Compact"/>
        <w:numPr>
          <w:ilvl w:val="0"/>
          <w:numId w:val="1012"/>
        </w:numPr>
      </w:pPr>
      <w:r>
        <w:t xml:space="preserve">About</w:t>
      </w:r>
      <w:r>
        <w:t xml:space="preserve"> </w:t>
      </w:r>
      <w:r>
        <w:rPr>
          <w:b/>
          <w:bCs/>
        </w:rPr>
        <w:t xml:space="preserve">8% above</w:t>
      </w:r>
      <w:r>
        <w:t xml:space="preserve"> </w:t>
      </w:r>
      <w:r>
        <w:t xml:space="preserve">its January 2 closing price</w:t>
      </w:r>
    </w:p>
    <w:p>
      <w:pPr>
        <w:pStyle w:val="Compact"/>
        <w:numPr>
          <w:ilvl w:val="0"/>
          <w:numId w:val="1012"/>
        </w:numPr>
      </w:pPr>
      <w:r>
        <w:t xml:space="preserve">About</w:t>
      </w:r>
      <w:r>
        <w:t xml:space="preserve"> </w:t>
      </w:r>
      <w:r>
        <w:rPr>
          <w:b/>
          <w:bCs/>
        </w:rPr>
        <w:t xml:space="preserve">10% above</w:t>
      </w:r>
      <w:r>
        <w:t xml:space="preserve"> </w:t>
      </w:r>
      <w:r>
        <w:t xml:space="preserve">its price immediately before the Q1 report</w:t>
      </w:r>
    </w:p>
    <w:p>
      <w:pPr>
        <w:pStyle w:val="FirstParagraph"/>
      </w:pPr>
      <w:r>
        <w:t xml:space="preserve">The monthly dividend—$0.145 per share—does not change the annual payout, but may broaden retail demand and improve the stock's income appeal. The first monthly payment is scheduled for July 31. UDR's Q1 filing confirms the $1.74 annualized distribution and the move to monthly payments. (</w:t>
      </w:r>
      <w:hyperlink r:id="rId27">
        <w:r>
          <w:rPr>
            <w:rStyle w:val="Hyperlink"/>
          </w:rPr>
          <w:t xml:space="preserve">sec.gov</w:t>
        </w:r>
      </w:hyperlink>
      <w:r>
        <w:t xml:space="preserve">)</w:t>
      </w:r>
    </w:p>
    <w:p>
      <w:pPr>
        <w:pStyle w:val="BodyText"/>
      </w:pPr>
      <w:r>
        <w:t xml:space="preserve">Because the stock has recovered, the bar is higher than it was in April. An in-line $0.63 FFOA result with unchanged guidance may not be enough to drive significant upside. The market is more likely to reward evidence of:</w:t>
      </w:r>
    </w:p>
    <w:p>
      <w:pPr>
        <w:pStyle w:val="Compact"/>
        <w:numPr>
          <w:ilvl w:val="0"/>
          <w:numId w:val="1013"/>
        </w:numPr>
      </w:pPr>
      <w:r>
        <w:t xml:space="preserve">Blended lease growth above 2%.</w:t>
      </w:r>
    </w:p>
    <w:p>
      <w:pPr>
        <w:pStyle w:val="Compact"/>
        <w:numPr>
          <w:ilvl w:val="0"/>
          <w:numId w:val="1013"/>
        </w:numPr>
      </w:pPr>
      <w:r>
        <w:t xml:space="preserve">Continued acceleration into July.</w:t>
      </w:r>
    </w:p>
    <w:p>
      <w:pPr>
        <w:pStyle w:val="Compact"/>
        <w:numPr>
          <w:ilvl w:val="0"/>
          <w:numId w:val="1013"/>
        </w:numPr>
      </w:pPr>
      <w:r>
        <w:t xml:space="preserve">Better-than-expected expense control.</w:t>
      </w:r>
    </w:p>
    <w:p>
      <w:pPr>
        <w:pStyle w:val="Compact"/>
        <w:numPr>
          <w:ilvl w:val="0"/>
          <w:numId w:val="1013"/>
        </w:numPr>
      </w:pPr>
      <w:r>
        <w:t xml:space="preserve">Higher same-store revenue and NOI guidance.</w:t>
      </w:r>
    </w:p>
    <w:p>
      <w:pPr>
        <w:pStyle w:val="Compact"/>
        <w:numPr>
          <w:ilvl w:val="0"/>
          <w:numId w:val="1013"/>
        </w:numPr>
      </w:pPr>
      <w:r>
        <w:t xml:space="preserve">Meaningful additional buybacks completed below current prices.</w:t>
      </w:r>
    </w:p>
    <w:p>
      <w:r>
        <w:pict>
          <v:rect style="width:0;height:1.5pt" o:hralign="center" o:hrstd="t" o:hr="t"/>
        </w:pict>
      </w:r>
    </w:p>
    <w:bookmarkEnd w:id="28"/>
    <w:bookmarkStart w:id="29" w:name="earnings-scorecard"/>
    <w:p>
      <w:pPr>
        <w:pStyle w:val="Heading2"/>
      </w:pPr>
      <w:r>
        <w:t xml:space="preserve">Earnings scorecard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Bearish</w:t>
            </w:r>
          </w:p>
        </w:tc>
        <w:tc>
          <w:tcPr/>
          <w:p>
            <w:pPr>
              <w:pStyle w:val="Compact"/>
              <w:jc w:val="right"/>
            </w:pPr>
            <w:r>
              <w:t xml:space="preserve">Base case</w:t>
            </w:r>
          </w:p>
        </w:tc>
        <w:tc>
          <w:tcPr/>
          <w:p>
            <w:pPr>
              <w:pStyle w:val="Compact"/>
              <w:jc w:val="right"/>
            </w:pPr>
            <w:r>
              <w:t xml:space="preserve">Bullish</w:t>
            </w:r>
          </w:p>
        </w:tc>
      </w:tr>
      <w:tr>
        <w:tc>
          <w:tcPr/>
          <w:p>
            <w:pPr>
              <w:pStyle w:val="Compact"/>
            </w:pPr>
            <w:r>
              <w:t xml:space="preserve">Q2 FFOA/share</w:t>
            </w:r>
          </w:p>
        </w:tc>
        <w:tc>
          <w:tcPr/>
          <w:p>
            <w:pPr>
              <w:pStyle w:val="Compact"/>
              <w:jc w:val="right"/>
            </w:pPr>
            <w:r>
              <w:t xml:space="preserve">Below $0.62</w:t>
            </w:r>
          </w:p>
        </w:tc>
        <w:tc>
          <w:tcPr/>
          <w:p>
            <w:pPr>
              <w:pStyle w:val="Compact"/>
              <w:jc w:val="right"/>
            </w:pPr>
            <m:oMath>
              <m:r>
                <m:t>0.62</m:t>
              </m:r>
              <m:r>
                <m:rPr>
                  <m:sty m:val="p"/>
                </m:rPr>
                <m:t>–</m:t>
              </m:r>
            </m:oMath>
            <w:r>
              <w:t xml:space="preserve">0.64</w:t>
            </w:r>
          </w:p>
        </w:tc>
        <w:tc>
          <w:tcPr/>
          <w:p>
            <w:pPr>
              <w:pStyle w:val="Compact"/>
              <w:jc w:val="right"/>
            </w:pPr>
            <w:r>
              <w:t xml:space="preserve">Above $0.64</w:t>
            </w:r>
          </w:p>
        </w:tc>
      </w:tr>
      <w:tr>
        <w:tc>
          <w:tcPr/>
          <w:p>
            <w:pPr>
              <w:pStyle w:val="Compact"/>
            </w:pPr>
            <w:r>
              <w:t xml:space="preserve">Blended lease growth</w:t>
            </w:r>
          </w:p>
        </w:tc>
        <w:tc>
          <w:tcPr/>
          <w:p>
            <w:pPr>
              <w:pStyle w:val="Compact"/>
              <w:jc w:val="right"/>
            </w:pPr>
            <w:r>
              <w:t xml:space="preserve">Below 1.5%</w:t>
            </w:r>
          </w:p>
        </w:tc>
        <w:tc>
          <w:tcPr/>
          <w:p>
            <w:pPr>
              <w:pStyle w:val="Compact"/>
              <w:jc w:val="right"/>
            </w:pPr>
            <w:r>
              <w:t xml:space="preserve">1.5%–2.0%</w:t>
            </w:r>
          </w:p>
        </w:tc>
        <w:tc>
          <w:tcPr/>
          <w:p>
            <w:pPr>
              <w:pStyle w:val="Compact"/>
              <w:jc w:val="right"/>
            </w:pPr>
            <w:r>
              <w:t xml:space="preserve">Above 2.0%</w:t>
            </w:r>
          </w:p>
        </w:tc>
      </w:tr>
      <w:tr>
        <w:tc>
          <w:tcPr/>
          <w:p>
            <w:pPr>
              <w:pStyle w:val="Compact"/>
            </w:pPr>
            <w:r>
              <w:t xml:space="preserve">Occupancy</w:t>
            </w:r>
          </w:p>
        </w:tc>
        <w:tc>
          <w:tcPr/>
          <w:p>
            <w:pPr>
              <w:pStyle w:val="Compact"/>
              <w:jc w:val="right"/>
            </w:pPr>
            <w:r>
              <w:t xml:space="preserve">Below 96.3%</w:t>
            </w:r>
          </w:p>
        </w:tc>
        <w:tc>
          <w:tcPr/>
          <w:p>
            <w:pPr>
              <w:pStyle w:val="Compact"/>
              <w:jc w:val="right"/>
            </w:pPr>
            <w:r>
              <w:t xml:space="preserve">96.4%–96.7%</w:t>
            </w:r>
          </w:p>
        </w:tc>
        <w:tc>
          <w:tcPr/>
          <w:p>
            <w:pPr>
              <w:pStyle w:val="Compact"/>
              <w:jc w:val="right"/>
            </w:pPr>
            <w:r>
              <w:t xml:space="preserve">Above 96.7% with strong rents</w:t>
            </w:r>
          </w:p>
        </w:tc>
      </w:tr>
      <w:tr>
        <w:tc>
          <w:tcPr/>
          <w:p>
            <w:pPr>
              <w:pStyle w:val="Compact"/>
            </w:pPr>
            <w:r>
              <w:t xml:space="preserve">New-lease growth</w:t>
            </w:r>
          </w:p>
        </w:tc>
        <w:tc>
          <w:tcPr/>
          <w:p>
            <w:pPr>
              <w:pStyle w:val="Compact"/>
              <w:jc w:val="right"/>
            </w:pPr>
            <w:r>
              <w:t xml:space="preserve">Worse than Q1</w:t>
            </w:r>
          </w:p>
        </w:tc>
        <w:tc>
          <w:tcPr/>
          <w:p>
            <w:pPr>
              <w:pStyle w:val="Compact"/>
              <w:jc w:val="right"/>
            </w:pPr>
            <w:r>
              <w:t xml:space="preserve">Improving but negative</w:t>
            </w:r>
          </w:p>
        </w:tc>
        <w:tc>
          <w:tcPr/>
          <w:p>
            <w:pPr>
              <w:pStyle w:val="Compact"/>
              <w:jc w:val="right"/>
            </w:pPr>
            <w:r>
              <w:t xml:space="preserve">Near zero or positive</w:t>
            </w:r>
          </w:p>
        </w:tc>
      </w:tr>
      <w:tr>
        <w:tc>
          <w:tcPr/>
          <w:p>
            <w:pPr>
              <w:pStyle w:val="Compact"/>
            </w:pPr>
            <w:r>
              <w:t xml:space="preserve">Renewal growth</w:t>
            </w:r>
          </w:p>
        </w:tc>
        <w:tc>
          <w:tcPr/>
          <w:p>
            <w:pPr>
              <w:pStyle w:val="Compact"/>
              <w:jc w:val="right"/>
            </w:pPr>
            <w:r>
              <w:t xml:space="preserve">Below 4.5%</w:t>
            </w:r>
          </w:p>
        </w:tc>
        <w:tc>
          <w:tcPr/>
          <w:p>
            <w:pPr>
              <w:pStyle w:val="Compact"/>
              <w:jc w:val="right"/>
            </w:pPr>
            <w:r>
              <w:t xml:space="preserve">Around 5%</w:t>
            </w:r>
          </w:p>
        </w:tc>
        <w:tc>
          <w:tcPr/>
          <w:p>
            <w:pPr>
              <w:pStyle w:val="Compact"/>
              <w:jc w:val="right"/>
            </w:pPr>
            <w:r>
              <w:t xml:space="preserve">Above 5.5%</w:t>
            </w:r>
          </w:p>
        </w:tc>
      </w:tr>
      <w:tr>
        <w:tc>
          <w:tcPr/>
          <w:p>
            <w:pPr>
              <w:pStyle w:val="Compact"/>
            </w:pPr>
            <w:r>
              <w:t xml:space="preserve">Same-store NOI guidance</w:t>
            </w:r>
          </w:p>
        </w:tc>
        <w:tc>
          <w:tcPr/>
          <w:p>
            <w:pPr>
              <w:pStyle w:val="Compact"/>
              <w:jc w:val="right"/>
            </w:pPr>
            <w:r>
              <w:t xml:space="preserve">Cut or unchanged with weak trends</w:t>
            </w:r>
          </w:p>
        </w:tc>
        <w:tc>
          <w:tcPr/>
          <w:p>
            <w:pPr>
              <w:pStyle w:val="Compact"/>
              <w:jc w:val="right"/>
            </w:pPr>
            <w:r>
              <w:t xml:space="preserve">Midpoint raised modestly</w:t>
            </w:r>
          </w:p>
        </w:tc>
        <w:tc>
          <w:tcPr/>
          <w:p>
            <w:pPr>
              <w:pStyle w:val="Compact"/>
              <w:jc w:val="right"/>
            </w:pPr>
            <w:r>
              <w:t xml:space="preserve">Material increase/narrowing toward upper half</w:t>
            </w:r>
          </w:p>
        </w:tc>
      </w:tr>
      <w:tr>
        <w:tc>
          <w:tcPr/>
          <w:p>
            <w:pPr>
              <w:pStyle w:val="Compact"/>
            </w:pPr>
            <w:r>
              <w:t xml:space="preserve">FFOA guidance</w:t>
            </w:r>
          </w:p>
        </w:tc>
        <w:tc>
          <w:tcPr/>
          <w:p>
            <w:pPr>
              <w:pStyle w:val="Compact"/>
              <w:jc w:val="right"/>
            </w:pPr>
            <w:r>
              <w:t xml:space="preserve">Cut</w:t>
            </w:r>
          </w:p>
        </w:tc>
        <w:tc>
          <w:tcPr/>
          <w:p>
            <w:pPr>
              <w:pStyle w:val="Compact"/>
              <w:jc w:val="right"/>
            </w:pPr>
            <w:r>
              <w:t xml:space="preserve">Maintained</w:t>
            </w:r>
          </w:p>
        </w:tc>
        <w:tc>
          <w:tcPr/>
          <w:p>
            <w:pPr>
              <w:pStyle w:val="Compact"/>
              <w:jc w:val="right"/>
            </w:pPr>
            <w:r>
              <w:t xml:space="preserve">Midpoint raised</w:t>
            </w:r>
          </w:p>
        </w:tc>
      </w:tr>
      <w:tr>
        <w:tc>
          <w:tcPr/>
          <w:p>
            <w:pPr>
              <w:pStyle w:val="Compact"/>
            </w:pPr>
            <w:r>
              <w:t xml:space="preserve">Capital allocation</w:t>
            </w:r>
          </w:p>
        </w:tc>
        <w:tc>
          <w:tcPr/>
          <w:p>
            <w:pPr>
              <w:pStyle w:val="Compact"/>
              <w:jc w:val="right"/>
            </w:pPr>
            <w:r>
              <w:t xml:space="preserve">Limited buybacks; weak sale pricing</w:t>
            </w:r>
          </w:p>
        </w:tc>
        <w:tc>
          <w:tcPr/>
          <w:p>
            <w:pPr>
              <w:pStyle w:val="Compact"/>
              <w:jc w:val="right"/>
            </w:pPr>
            <w:r>
              <w:t xml:space="preserve">Continued execution</w:t>
            </w:r>
          </w:p>
        </w:tc>
        <w:tc>
          <w:tcPr/>
          <w:p>
            <w:pPr>
              <w:pStyle w:val="Compact"/>
              <w:jc w:val="right"/>
            </w:pPr>
            <w:r>
              <w:t xml:space="preserve">Significant accretive repurchases plus attractive asset-sale pricing</w:t>
            </w:r>
          </w:p>
        </w:tc>
      </w:tr>
    </w:tbl>
    <w:bookmarkEnd w:id="29"/>
    <w:bookmarkStart w:id="30" w:name="bottom-line"/>
    <w:p>
      <w:pPr>
        <w:pStyle w:val="Heading2"/>
      </w:pPr>
      <w:r>
        <w:t xml:space="preserve">Bottom line</w:t>
      </w:r>
    </w:p>
    <w:p>
      <w:pPr>
        <w:pStyle w:val="FirstParagraph"/>
      </w:pPr>
      <w:r>
        <w:t xml:space="preserve">The setup is</w:t>
      </w:r>
      <w:r>
        <w:t xml:space="preserve"> </w:t>
      </w:r>
      <w:r>
        <w:rPr>
          <w:b/>
          <w:bCs/>
        </w:rPr>
        <w:t xml:space="preserve">constructive, but expectations have risen with the stock</w:t>
      </w:r>
      <w:r>
        <w:t xml:space="preserve">.</w:t>
      </w:r>
    </w:p>
    <w:p>
      <w:pPr>
        <w:pStyle w:val="BodyText"/>
      </w:pPr>
      <w:r>
        <w:t xml:space="preserve">A quarter near the $0.63 FFOA midpoint is already anticipated. The real opportunity is for UDR to show that coastal strength, record retention and normalizing expenses are driving a better full-year same-store trajectory. Recent results from Equity Residential and AvalonBay support that possibility.</w:t>
      </w:r>
    </w:p>
    <w:p>
      <w:pPr>
        <w:pStyle w:val="BodyText"/>
      </w:pPr>
      <w:r>
        <w:t xml:space="preserve">The cleanest bullish outcome would be</w:t>
      </w:r>
      <w:r>
        <w:t xml:space="preserve"> </w:t>
      </w:r>
      <w:r>
        <w:rPr>
          <w:b/>
          <w:bCs/>
        </w:rPr>
        <w:t xml:space="preserve">better-than-expected blended lease growth, improving new-lease spreads, controlled expenses and a higher same-store NOI outlook</w:t>
      </w:r>
      <w:r>
        <w:t xml:space="preserve">, accompanied by evidence that UDR continued to repurchase shares at attractive prices. The main downside risks are persistent Sunbelt weakness, expense pressure and a capital-allocation strategy whose lost property and investment income outweighs near-term buyback accretion.</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investors.avalonbay.com/news-events/press-releases/detail/443/avalonbay-communities-inc-provides-q2-2026-results-increases-same-store-outlook-and-suspends-eps-ffo-and-core-ffo-outlook-due-to-proposed-merger?utm_source=openai" TargetMode="External" /><Relationship Type="http://schemas.openxmlformats.org/officeDocument/2006/relationships/hyperlink" Id="rId9" Target="https://www.nasdaq.com/press-release/udr-inc-announces-dates-second-quarter-2026-earnings-release-webcast-and-conference?utm_source=openai" TargetMode="External" /><Relationship Type="http://schemas.openxmlformats.org/officeDocument/2006/relationships/hyperlink" Id="rId10" Target="https://www.sec.gov/Archives/edgar/data/74208/000007420826000045/udr-20260429xex99d1.htm?utm_source=openai" TargetMode="External" /><Relationship Type="http://schemas.openxmlformats.org/officeDocument/2006/relationships/hyperlink" Id="rId27" Target="https://www.sec.gov/Archives/edgar/data/74208/000007420826000045/udr-20260429xex99d1.pdf?utm_source=openai" TargetMode="External" /></Relationships>
</file>

<file path=word/_rels/footnotes.xml.rels><?xml version="1.0" encoding="UTF-8"?><Relationships xmlns="http://schemas.openxmlformats.org/package/2006/relationships"><Relationship Type="http://schemas.openxmlformats.org/officeDocument/2006/relationships/hyperlink" Id="rId12" Target="https://investors.avalonbay.com/news-events/press-releases/detail/443/avalonbay-communities-inc-provides-q2-2026-results-increases-same-store-outlook-and-suspends-eps-ffo-and-core-ffo-outlook-due-to-proposed-merger?utm_source=openai" TargetMode="External" /><Relationship Type="http://schemas.openxmlformats.org/officeDocument/2006/relationships/hyperlink" Id="rId9" Target="https://www.nasdaq.com/press-release/udr-inc-announces-dates-second-quarter-2026-earnings-release-webcast-and-conference?utm_source=openai" TargetMode="External" /><Relationship Type="http://schemas.openxmlformats.org/officeDocument/2006/relationships/hyperlink" Id="rId10" Target="https://www.sec.gov/Archives/edgar/data/74208/000007420826000045/udr-20260429xex99d1.htm?utm_source=openai" TargetMode="External" /><Relationship Type="http://schemas.openxmlformats.org/officeDocument/2006/relationships/hyperlink" Id="rId27" Target="https://www.sec.gov/Archives/edgar/data/74208/000007420826000045/udr-20260429xex99d1.pdf?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2026-07-27T00:24:55Z</dcterms:created>
  <dcterms:modified xsi:type="dcterms:W3CDTF">2026-07-27T00:24:55Z</dcterms:modified>
</cp:coreProperties>
</file>

<file path=docProps/custom.xml><?xml version="1.0" encoding="utf-8"?>
<Properties xmlns="http://schemas.openxmlformats.org/officeDocument/2006/custom-properties" xmlns:vt="http://schemas.openxmlformats.org/officeDocument/2006/docPropsVTypes"/>
</file>