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udr-2q26-earnings-preview"/>
    <w:p>
      <w:pPr>
        <w:pStyle w:val="Heading1"/>
      </w:pPr>
      <w:r>
        <w:t xml:space="preserve">UDR 2Q26 Earnings Preview</w:t>
      </w:r>
    </w:p>
    <w:p>
      <w:pPr>
        <w:pStyle w:val="BlockText"/>
      </w:pPr>
      <w:r>
        <w:rPr>
          <w:b/>
          <w:bCs/>
        </w:rPr>
        <w:t xml:space="preserve">Timing note:</w:t>
      </w:r>
      <w:r>
        <w:t xml:space="preserve"> </w:t>
      </w:r>
      <w:r>
        <w:t xml:space="preserve">The prompt refers to earnings “tomorrow” on</w:t>
      </w:r>
      <w:r>
        <w:t xml:space="preserve"> </w:t>
      </w:r>
      <w:r>
        <w:rPr>
          <w:b/>
          <w:bCs/>
        </w:rPr>
        <w:t xml:space="preserve">July 27, 2026</w:t>
      </w:r>
      <w:r>
        <w:t xml:space="preserve">. As of</w:t>
      </w:r>
      <w:r>
        <w:t xml:space="preserve"> </w:t>
      </w:r>
      <w:r>
        <w:rPr>
          <w:b/>
          <w:bCs/>
        </w:rPr>
        <w:t xml:space="preserve">Monday, July 27, 2026</w:t>
      </w:r>
      <w:r>
        <w:t xml:space="preserve">, UDR’s 2Q26 earnings event is</w:t>
      </w:r>
      <w:r>
        <w:t xml:space="preserve"> </w:t>
      </w:r>
      <w:r>
        <w:rPr>
          <w:b/>
          <w:bCs/>
        </w:rPr>
        <w:t xml:space="preserve">today</w:t>
      </w:r>
      <w:r>
        <w:t xml:space="preserve">. This preview is therefore framed for investors heading into the release and call.</w:t>
      </w:r>
    </w:p>
    <w:bookmarkStart w:id="9" w:name="X84bd7ba450da83442e504cba8d8f3f90e10c1f0"/>
    <w:p>
      <w:pPr>
        <w:pStyle w:val="Heading2"/>
      </w:pPr>
      <w:r>
        <w:t xml:space="preserve">Investment view: operations versus capital allocation</w:t>
      </w:r>
    </w:p>
    <w:p>
      <w:pPr>
        <w:pStyle w:val="FirstParagraph"/>
      </w:pPr>
      <w:r>
        <w:t xml:space="preserve">UDR enters 2Q with an operational setup that appears broadly on plan, but the report’s real importance is likely to be whether management can</w:t>
      </w:r>
      <w:r>
        <w:t xml:space="preserve"> </w:t>
      </w:r>
      <w:r>
        <w:rPr>
          <w:b/>
          <w:bCs/>
        </w:rPr>
        <w:t xml:space="preserve">validate its full-year outlook</w:t>
      </w:r>
      <w:r>
        <w:t xml:space="preserve"> </w:t>
      </w:r>
      <w:r>
        <w:t xml:space="preserve">and demonstrate that its portfolio’s coastal-market strength is offsetting continued unevenness in the Sunbelt.</w:t>
      </w:r>
    </w:p>
    <w:p>
      <w:pPr>
        <w:pStyle w:val="BodyText"/>
      </w:pPr>
      <w:r>
        <w:t xml:space="preserve">The company’s prior 2Q26 outlook called for</w:t>
      </w:r>
      <w:r>
        <w:t xml:space="preserve"> </w:t>
      </w:r>
      <w:r>
        <w:rPr>
          <w:b/>
          <w:bCs/>
        </w:rPr>
        <w:t xml:space="preserve">FFO as Adjusted (FFOA) of</w:t>
      </w:r>
      <w:r>
        <w:rPr>
          <w:b/>
          <w:bCs/>
        </w:rPr>
        <w:t xml:space="preserve"> </w:t>
      </w:r>
      <m:oMath>
        <m:r>
          <m:t>0.62</m:t>
        </m:r>
        <m:r>
          <m:rPr>
            <m:sty m:val="p"/>
          </m:rPr>
          <m:t>–</m:t>
        </m:r>
      </m:oMath>
      <w:r>
        <w:rPr>
          <w:b/>
          <w:bCs/>
        </w:rPr>
        <w:t xml:space="preserve">0.64 per share</w:t>
      </w:r>
      <w:r>
        <w:t xml:space="preserve">, with a midpoint of</w:t>
      </w:r>
      <w:r>
        <w:t xml:space="preserve"> </w:t>
      </w:r>
      <w:r>
        <w:rPr>
          <w:b/>
          <w:bCs/>
        </w:rPr>
        <w:t xml:space="preserve">$0.63</w:t>
      </w:r>
      <w:r>
        <w:t xml:space="preserve">, versus $0.62 in 1Q. The expected sequential improvement was driven by higher NOI and the benefit of share repurchases funded by dispositions. UDR maintained its full-year outlook in April for</w:t>
      </w:r>
      <w:r>
        <w:t xml:space="preserve"> </w:t>
      </w:r>
      <w:r>
        <w:rPr>
          <w:b/>
          <w:bCs/>
        </w:rPr>
        <w:t xml:space="preserve">FFOA of</w:t>
      </w:r>
      <w:r>
        <w:rPr>
          <w:b/>
          <w:bCs/>
        </w:rPr>
        <w:t xml:space="preserve"> </w:t>
      </w:r>
      <m:oMath>
        <m:r>
          <m:t>2.47</m:t>
        </m:r>
        <m:r>
          <m:rPr>
            <m:sty m:val="p"/>
          </m:rPr>
          <m:t>–</m:t>
        </m:r>
      </m:oMath>
      <w:r>
        <w:rPr>
          <w:b/>
          <w:bCs/>
        </w:rPr>
        <w:t xml:space="preserve">2.57 per share</w:t>
      </w:r>
      <w:r>
        <w:t xml:space="preserve"> </w:t>
      </w:r>
      <w:r>
        <w:t xml:space="preserve">and same-store NOI growth of</w:t>
      </w:r>
      <w:r>
        <w:t xml:space="preserve"> </w:t>
      </w:r>
      <w:r>
        <w:rPr>
          <w:b/>
          <w:bCs/>
        </w:rPr>
        <w:t xml:space="preserve">-1.0% to +1.25%</w:t>
      </w:r>
      <w:r>
        <w:t xml:space="preserve">.</w:t>
      </w:r>
    </w:p>
    <w:p>
      <w:pPr>
        <w:pStyle w:val="BodyText"/>
      </w:pPr>
      <w:r>
        <w:t xml:space="preserve">The core issue for the stock is no longer simply whether UDR can hit a quarterly FFO number. Investors will be looking for evidence on three questions:</w:t>
      </w:r>
    </w:p>
    <w:p>
      <w:pPr>
        <w:pStyle w:val="Compact"/>
        <w:numPr>
          <w:ilvl w:val="0"/>
          <w:numId w:val="1001"/>
        </w:numPr>
      </w:pPr>
      <w:r>
        <w:rPr>
          <w:b/>
          <w:bCs/>
        </w:rPr>
        <w:t xml:space="preserve">Is coastal leasing strength accelerating enough to support an eventual improvement in same-store NOI?</w:t>
      </w:r>
    </w:p>
    <w:p>
      <w:pPr>
        <w:pStyle w:val="Compact"/>
        <w:numPr>
          <w:ilvl w:val="0"/>
          <w:numId w:val="1001"/>
        </w:numPr>
      </w:pPr>
      <w:r>
        <w:rPr>
          <w:b/>
          <w:bCs/>
        </w:rPr>
        <w:t xml:space="preserve">Is Sunbelt weakness stabilizing rather than worsening during peak leasing season?</w:t>
      </w:r>
    </w:p>
    <w:p>
      <w:pPr>
        <w:pStyle w:val="Compact"/>
        <w:numPr>
          <w:ilvl w:val="0"/>
          <w:numId w:val="1001"/>
        </w:numPr>
      </w:pPr>
      <w:r>
        <w:rPr>
          <w:b/>
          <w:bCs/>
        </w:rPr>
        <w:t xml:space="preserve">Can UDR continue to create per-share value through asset sales and buybacks now that its stock price has moved above the levels at which much of the recent repurchase activity occurred?</w:t>
      </w:r>
    </w:p>
    <w:bookmarkEnd w:id="9"/>
    <w:bookmarkStart w:id="13" w:name="what-to-expect-in-the-quarter"/>
    <w:p>
      <w:pPr>
        <w:pStyle w:val="Heading2"/>
      </w:pPr>
      <w:r>
        <w:t xml:space="preserve">What to expect in the quarter</w:t>
      </w:r>
    </w:p>
    <w:bookmarkStart w:id="10" w:name="X1ffea414411f30e8aab7d2ebc3fd3f1007e01bb"/>
    <w:p>
      <w:pPr>
        <w:pStyle w:val="Heading3"/>
      </w:pPr>
      <w:r>
        <w:t xml:space="preserve">1. Leasing: coastal momentum should be the headline</w:t>
      </w:r>
    </w:p>
    <w:p>
      <w:pPr>
        <w:pStyle w:val="FirstParagraph"/>
      </w:pPr>
      <w:r>
        <w:t xml:space="preserve">In the first-quarter call, management said 2Q blended lease-rate growth was expected to remain at</w:t>
      </w:r>
      <w:r>
        <w:t xml:space="preserve"> </w:t>
      </w:r>
      <w:r>
        <w:rPr>
          <w:b/>
          <w:bCs/>
        </w:rPr>
        <w:t xml:space="preserve">1.5%–2.0%</w:t>
      </w:r>
      <w:r>
        <w:t xml:space="preserve">, with physical occupancy in the mid-96% range. April trends were reported as consistent with that outlook.</w:t>
      </w:r>
    </w:p>
    <w:p>
      <w:pPr>
        <w:pStyle w:val="BodyText"/>
      </w:pPr>
      <w:r>
        <w:t xml:space="preserve">The portfolio’s most favorable leasing signals were concentrated in:</w:t>
      </w:r>
    </w:p>
    <w:p>
      <w:pPr>
        <w:pStyle w:val="Compact"/>
        <w:numPr>
          <w:ilvl w:val="0"/>
          <w:numId w:val="1002"/>
        </w:numPr>
      </w:pPr>
      <w:r>
        <w:rPr>
          <w:b/>
          <w:bCs/>
        </w:rPr>
        <w:t xml:space="preserve">San Francisco:</w:t>
      </w:r>
      <w:r>
        <w:t xml:space="preserve"> </w:t>
      </w:r>
      <w:r>
        <w:t xml:space="preserve">approximately 10% blended lease-rate growth and occupancy in the high-97% range.</w:t>
      </w:r>
    </w:p>
    <w:p>
      <w:pPr>
        <w:pStyle w:val="Compact"/>
        <w:numPr>
          <w:ilvl w:val="0"/>
          <w:numId w:val="1002"/>
        </w:numPr>
      </w:pPr>
      <w:r>
        <w:rPr>
          <w:b/>
          <w:bCs/>
        </w:rPr>
        <w:t xml:space="preserve">New York:</w:t>
      </w:r>
      <w:r>
        <w:t xml:space="preserve"> </w:t>
      </w:r>
      <w:r>
        <w:t xml:space="preserve">approximately 7% blended growth and occupancy above 98%.</w:t>
      </w:r>
    </w:p>
    <w:p>
      <w:pPr>
        <w:pStyle w:val="Compact"/>
        <w:numPr>
          <w:ilvl w:val="0"/>
          <w:numId w:val="1002"/>
        </w:numPr>
      </w:pPr>
      <w:r>
        <w:rPr>
          <w:b/>
          <w:bCs/>
        </w:rPr>
        <w:t xml:space="preserve">Dallas:</w:t>
      </w:r>
      <w:r>
        <w:t xml:space="preserve"> </w:t>
      </w:r>
      <w:r>
        <w:t xml:space="preserve">occupancy nearing 97%, with blended growth having turned positive after significant sequential improvement.</w:t>
      </w:r>
    </w:p>
    <w:p>
      <w:pPr>
        <w:pStyle w:val="Compact"/>
        <w:numPr>
          <w:ilvl w:val="0"/>
          <w:numId w:val="1002"/>
        </w:numPr>
      </w:pPr>
      <w:r>
        <w:rPr>
          <w:b/>
          <w:bCs/>
        </w:rPr>
        <w:t xml:space="preserve">Philadelphia and Orange County:</w:t>
      </w:r>
      <w:r>
        <w:t xml:space="preserve"> </w:t>
      </w:r>
      <w:r>
        <w:t xml:space="preserve">identified as markets showing improving forward indicators.</w:t>
      </w:r>
    </w:p>
    <w:p>
      <w:pPr>
        <w:pStyle w:val="FirstParagraph"/>
      </w:pPr>
      <w:r>
        <w:t xml:space="preserve">This matters because UDR has substantial exposure to higher-barrier coastal markets. At the end of 1Q, its West, Northeast, and Mid-Atlantic regions represented roughly 71% of same-store NOI, while its same-store portfolio was 96.6% occupied. A sustained recovery in San Francisco and continued strength in New York can meaningfully improve the mix of revenue growth, particularly if the company can monetize demand without sacrificing occupancy.</w:t>
      </w:r>
    </w:p>
    <w:p>
      <w:pPr>
        <w:pStyle w:val="BodyText"/>
      </w:pPr>
      <w:r>
        <w:rPr>
          <w:b/>
          <w:bCs/>
        </w:rPr>
        <w:t xml:space="preserve">What investors should watch:</w:t>
      </w:r>
      <w:r>
        <w:t xml:space="preserve"> </w:t>
      </w:r>
      <w:r>
        <w:t xml:space="preserve">current blended lease-rate growth, renewal-versus-new-lease spreads, occupancy strategy through August, and whether market rents in San Francisco, New York, Philadelphia, and Southern California are still improving.</w:t>
      </w:r>
    </w:p>
    <w:bookmarkEnd w:id="10"/>
    <w:bookmarkStart w:id="11" w:name="X974b5686ae561d20ed2acd926aa5eb8b8df2981"/>
    <w:p>
      <w:pPr>
        <w:pStyle w:val="Heading3"/>
      </w:pPr>
      <w:r>
        <w:t xml:space="preserve">2. The Sunbelt remains the principal operating risk</w:t>
      </w:r>
    </w:p>
    <w:p>
      <w:pPr>
        <w:pStyle w:val="FirstParagraph"/>
      </w:pPr>
      <w:r>
        <w:t xml:space="preserve">The counterweight is UDR’s exposure to supply-pressured Sunbelt markets. Management noted in April that blended pricing in Sunbelt markets had softened from roughly</w:t>
      </w:r>
      <w:r>
        <w:t xml:space="preserve"> </w:t>
      </w:r>
      <w:r>
        <w:rPr>
          <w:b/>
          <w:bCs/>
        </w:rPr>
        <w:t xml:space="preserve">-1.5% in 1Q to approximately -2.5% in April</w:t>
      </w:r>
      <w:r>
        <w:t xml:space="preserve">, with Florida, Nashville, and—in a more limited way—Texas identified as areas to monitor.</w:t>
      </w:r>
    </w:p>
    <w:p>
      <w:pPr>
        <w:pStyle w:val="BodyText"/>
      </w:pPr>
      <w:r>
        <w:t xml:space="preserve">Management characterized that softness as a potential short-term “blip” and expected supply conditions to improve over time. But the second quarter is important because it captures the heart of the leasing season. If pricing weakened further in Florida or Nashville during May and June, investors may question the company’s ability to achieve its full-year same-store revenue growth outlook of</w:t>
      </w:r>
      <w:r>
        <w:t xml:space="preserve"> </w:t>
      </w:r>
      <w:r>
        <w:rPr>
          <w:b/>
          <w:bCs/>
        </w:rPr>
        <w:t xml:space="preserve">0.25%–2.25%</w:t>
      </w:r>
      <w:r>
        <w:t xml:space="preserve">.</w:t>
      </w:r>
    </w:p>
    <w:p>
      <w:pPr>
        <w:pStyle w:val="BodyText"/>
      </w:pPr>
      <w:r>
        <w:rPr>
          <w:b/>
          <w:bCs/>
        </w:rPr>
        <w:t xml:space="preserve">The key read-through:</w:t>
      </w:r>
      <w:r>
        <w:t xml:space="preserve"> </w:t>
      </w:r>
      <w:r>
        <w:t xml:space="preserve">UDR does not need broad-based Sunbelt strength to meet guidance, but it likely needs the rate of deterioration to stop. Stabilization would be constructive; another step down in new-lease pricing would increase pressure on 2H revenue and NOI assumptions.</w:t>
      </w:r>
    </w:p>
    <w:bookmarkEnd w:id="11"/>
    <w:bookmarkStart w:id="12" w:name="Xd64b360a3628279461fa48b1aeba3f4dd087d62"/>
    <w:p>
      <w:pPr>
        <w:pStyle w:val="Heading3"/>
      </w:pPr>
      <w:r>
        <w:t xml:space="preserve">3. Expense normalization could support sequential NOI—but should not be over-extrapolated</w:t>
      </w:r>
    </w:p>
    <w:p>
      <w:pPr>
        <w:pStyle w:val="FirstParagraph"/>
      </w:pPr>
      <w:r>
        <w:t xml:space="preserve">1Q same-store NOI declined</w:t>
      </w:r>
      <w:r>
        <w:t xml:space="preserve"> </w:t>
      </w:r>
      <w:r>
        <w:rPr>
          <w:b/>
          <w:bCs/>
        </w:rPr>
        <w:t xml:space="preserve">0.8% year over year</w:t>
      </w:r>
      <w:r>
        <w:t xml:space="preserve">, despite 0.9% revenue growth, because same-store expenses rose 4.4%. UDR attributed roughly</w:t>
      </w:r>
      <w:r>
        <w:t xml:space="preserve"> </w:t>
      </w:r>
      <w:r>
        <w:rPr>
          <w:b/>
          <w:bCs/>
        </w:rPr>
        <w:t xml:space="preserve">$1.4 million</w:t>
      </w:r>
      <w:r>
        <w:t xml:space="preserve"> </w:t>
      </w:r>
      <w:r>
        <w:t xml:space="preserve">of incremental expense to winter storms, including snow removal and utilities; excluding those items, expense growth would have been about 100 basis points lower.</w:t>
      </w:r>
    </w:p>
    <w:p>
      <w:pPr>
        <w:pStyle w:val="BodyText"/>
      </w:pPr>
      <w:r>
        <w:t xml:space="preserve">That sets up a cleaner 2Q comparison and supports the company’s expectation for sequential NOI growth. Still, investors should focus on the recurring expense categories:</w:t>
      </w:r>
    </w:p>
    <w:p>
      <w:pPr>
        <w:pStyle w:val="Compact"/>
        <w:numPr>
          <w:ilvl w:val="0"/>
          <w:numId w:val="1003"/>
        </w:numPr>
      </w:pPr>
      <w:r>
        <w:t xml:space="preserve">utilities;</w:t>
      </w:r>
    </w:p>
    <w:p>
      <w:pPr>
        <w:pStyle w:val="Compact"/>
        <w:numPr>
          <w:ilvl w:val="0"/>
          <w:numId w:val="1003"/>
        </w:numPr>
      </w:pPr>
      <w:r>
        <w:t xml:space="preserve">repair and maintenance/vendor costs;</w:t>
      </w:r>
    </w:p>
    <w:p>
      <w:pPr>
        <w:pStyle w:val="Compact"/>
        <w:numPr>
          <w:ilvl w:val="0"/>
          <w:numId w:val="1003"/>
        </w:numPr>
      </w:pPr>
      <w:r>
        <w:t xml:space="preserve">real estate taxes;</w:t>
      </w:r>
    </w:p>
    <w:p>
      <w:pPr>
        <w:pStyle w:val="Compact"/>
        <w:numPr>
          <w:ilvl w:val="0"/>
          <w:numId w:val="1003"/>
        </w:numPr>
      </w:pPr>
      <w:r>
        <w:t xml:space="preserve">insurance; and</w:t>
      </w:r>
    </w:p>
    <w:p>
      <w:pPr>
        <w:pStyle w:val="Compact"/>
        <w:numPr>
          <w:ilvl w:val="0"/>
          <w:numId w:val="1003"/>
        </w:numPr>
      </w:pPr>
      <w:r>
        <w:t xml:space="preserve">turnover-related costs.</w:t>
      </w:r>
    </w:p>
    <w:p>
      <w:pPr>
        <w:pStyle w:val="FirstParagraph"/>
      </w:pPr>
      <w:r>
        <w:t xml:space="preserve">UDR’s resident-retention strategy is strategically relevant here. First-quarter turnover was just 29%, and management argued that lower turnover improves both revenue durability and operating efficiency. If retention remains elevated while renewal rates stay healthy, it can help protect margins even in markets where new-lease pricing is less favorable.</w:t>
      </w:r>
    </w:p>
    <w:bookmarkEnd w:id="12"/>
    <w:bookmarkEnd w:id="13"/>
    <w:bookmarkStart w:id="17" w:name="Xcfd5b0e578e37c1e5b82a095b5251728a12013f"/>
    <w:p>
      <w:pPr>
        <w:pStyle w:val="Heading2"/>
      </w:pPr>
      <w:r>
        <w:t xml:space="preserve">Guidance: the most consequential line item</w:t>
      </w:r>
    </w:p>
    <w:bookmarkStart w:id="14" w:name="base-case-maintain-full-year-guidance"/>
    <w:p>
      <w:pPr>
        <w:pStyle w:val="Heading3"/>
      </w:pPr>
      <w:r>
        <w:t xml:space="preserve">Base case: maintain full-year guidance</w:t>
      </w:r>
    </w:p>
    <w:p>
      <w:pPr>
        <w:pStyle w:val="FirstParagraph"/>
      </w:pPr>
      <w:r>
        <w:t xml:space="preserve">The most likely favorable outcome is a result near the quarterly FFOA midpoint, accompanied by a</w:t>
      </w:r>
      <w:r>
        <w:t xml:space="preserve"> </w:t>
      </w:r>
      <w:r>
        <w:rPr>
          <w:b/>
          <w:bCs/>
        </w:rPr>
        <w:t xml:space="preserve">reaffirmation of full-year guidance</w:t>
      </w:r>
      <w:r>
        <w:t xml:space="preserve">. Management entered the year with deliberately cautious same-store NOI guidance and said it did not require lease-rate growth to accelerate in the second half to achieve the annual revenue forecast.</w:t>
      </w:r>
    </w:p>
    <w:p>
      <w:pPr>
        <w:pStyle w:val="BodyText"/>
      </w:pPr>
      <w:r>
        <w:t xml:space="preserve">A maintained outlook would signal that:</w:t>
      </w:r>
    </w:p>
    <w:p>
      <w:pPr>
        <w:pStyle w:val="Compact"/>
        <w:numPr>
          <w:ilvl w:val="0"/>
          <w:numId w:val="1004"/>
        </w:numPr>
      </w:pPr>
      <w:r>
        <w:t xml:space="preserve">coastal-market upside is offsetting Sunbelt pressure;</w:t>
      </w:r>
    </w:p>
    <w:p>
      <w:pPr>
        <w:pStyle w:val="Compact"/>
        <w:numPr>
          <w:ilvl w:val="0"/>
          <w:numId w:val="1004"/>
        </w:numPr>
      </w:pPr>
      <w:r>
        <w:t xml:space="preserve">occupancy and retention remain healthy;</w:t>
      </w:r>
    </w:p>
    <w:p>
      <w:pPr>
        <w:pStyle w:val="Compact"/>
        <w:numPr>
          <w:ilvl w:val="0"/>
          <w:numId w:val="1004"/>
        </w:numPr>
      </w:pPr>
      <w:r>
        <w:t xml:space="preserve">1Q weather costs were non-recurring rather than a broader expense problem; and</w:t>
      </w:r>
    </w:p>
    <w:p>
      <w:pPr>
        <w:pStyle w:val="Compact"/>
        <w:numPr>
          <w:ilvl w:val="0"/>
          <w:numId w:val="1004"/>
        </w:numPr>
      </w:pPr>
      <w:r>
        <w:t xml:space="preserve">disposition/buyback activity remains accretive to per-share FFO.</w:t>
      </w:r>
    </w:p>
    <w:bookmarkEnd w:id="14"/>
    <w:bookmarkStart w:id="15" w:name="X21bbee4408f0184fdc3daad0f08e121641077e7"/>
    <w:p>
      <w:pPr>
        <w:pStyle w:val="Heading3"/>
      </w:pPr>
      <w:r>
        <w:t xml:space="preserve">Upside case: modestly tighter or higher full-year guidance</w:t>
      </w:r>
    </w:p>
    <w:p>
      <w:pPr>
        <w:pStyle w:val="FirstParagraph"/>
      </w:pPr>
      <w:r>
        <w:t xml:space="preserve">An increase would likely require more than a good headline FFO result. Investors would need to hear that:</w:t>
      </w:r>
    </w:p>
    <w:p>
      <w:pPr>
        <w:pStyle w:val="Compact"/>
        <w:numPr>
          <w:ilvl w:val="0"/>
          <w:numId w:val="1005"/>
        </w:numPr>
      </w:pPr>
      <w:r>
        <w:t xml:space="preserve">coastal leasing momentum continued through July;</w:t>
      </w:r>
    </w:p>
    <w:p>
      <w:pPr>
        <w:pStyle w:val="Compact"/>
        <w:numPr>
          <w:ilvl w:val="0"/>
          <w:numId w:val="1005"/>
        </w:numPr>
      </w:pPr>
      <w:r>
        <w:t xml:space="preserve">Sunbelt pricing is improving or at least stabilizing;</w:t>
      </w:r>
    </w:p>
    <w:p>
      <w:pPr>
        <w:pStyle w:val="Compact"/>
        <w:numPr>
          <w:ilvl w:val="0"/>
          <w:numId w:val="1005"/>
        </w:numPr>
      </w:pPr>
      <w:r>
        <w:t xml:space="preserve">expense growth is trending below the prior 3.0%–4.5% full-year range; and</w:t>
      </w:r>
    </w:p>
    <w:p>
      <w:pPr>
        <w:pStyle w:val="Compact"/>
        <w:numPr>
          <w:ilvl w:val="0"/>
          <w:numId w:val="1005"/>
        </w:numPr>
      </w:pPr>
      <w:r>
        <w:t xml:space="preserve">UDR sees additional accretive deployment opportunities from asset sales, debt/preferred-equity repayments, or buybacks.</w:t>
      </w:r>
    </w:p>
    <w:bookmarkEnd w:id="15"/>
    <w:bookmarkStart w:id="16" w:name="X0b37675eeb409fc8c56553899ecfd1692c39d21"/>
    <w:p>
      <w:pPr>
        <w:pStyle w:val="Heading3"/>
      </w:pPr>
      <w:r>
        <w:t xml:space="preserve">Downside case: guidance maintained but credibility weakens</w:t>
      </w:r>
    </w:p>
    <w:p>
      <w:pPr>
        <w:pStyle w:val="FirstParagraph"/>
      </w:pPr>
      <w:r>
        <w:t xml:space="preserve">The risk is not necessarily a formal cut. A more subtle negative outcome would be full-year guidance maintenance paired with weaker leasing commentary, higher expenses, or reduced confidence in second-half market-rent recovery. In that scenario, the market could view the range as increasingly back-half weighted.</w:t>
      </w:r>
    </w:p>
    <w:bookmarkEnd w:id="16"/>
    <w:bookmarkEnd w:id="17"/>
    <w:bookmarkStart w:id="18" w:name="Xbea08bf7af32f9fce44e637d40d18ef52cb1d25"/>
    <w:p>
      <w:pPr>
        <w:pStyle w:val="Heading2"/>
      </w:pPr>
      <w:r>
        <w:t xml:space="preserve">Capital allocation: the second major catalyst</w:t>
      </w:r>
    </w:p>
    <w:p>
      <w:pPr>
        <w:pStyle w:val="FirstParagraph"/>
      </w:pPr>
      <w:r>
        <w:t xml:space="preserve">UDR has made capital allocation central to its equity story. In 1Q, it sold four communities for</w:t>
      </w:r>
      <w:r>
        <w:t xml:space="preserve"> </w:t>
      </w:r>
      <m:oMath>
        <m:r>
          <m:t>362</m:t>
        </m:r>
        <m:r>
          <m:t>m</m:t>
        </m:r>
        <m:r>
          <m:t>i</m:t>
        </m:r>
        <m:r>
          <m:t>l</m:t>
        </m:r>
        <m:r>
          <m:t>l</m:t>
        </m:r>
        <m:r>
          <m:t>i</m:t>
        </m:r>
        <m:r>
          <m:t>o</m:t>
        </m:r>
        <m:r>
          <m:t>n</m:t>
        </m:r>
        <m:r>
          <m:rPr>
            <m:sty m:val="p"/>
          </m:rPr>
          <m:t>*</m:t>
        </m:r>
        <m:r>
          <m:rPr>
            <m:sty m:val="p"/>
          </m:rPr>
          <m:t>*</m:t>
        </m:r>
        <m:r>
          <m:t>o</m:t>
        </m:r>
        <m:r>
          <m:t>f</m:t>
        </m:r>
        <m:r>
          <m:t>g</m:t>
        </m:r>
        <m:r>
          <m:t>r</m:t>
        </m:r>
        <m:r>
          <m:t>o</m:t>
        </m:r>
        <m:r>
          <m:t>s</m:t>
        </m:r>
        <m:r>
          <m:t>s</m:t>
        </m:r>
        <m:r>
          <m:t>p</m:t>
        </m:r>
        <m:r>
          <m:t>r</m:t>
        </m:r>
        <m:r>
          <m:t>o</m:t>
        </m:r>
        <m:r>
          <m:t>c</m:t>
        </m:r>
        <m:r>
          <m:t>e</m:t>
        </m:r>
        <m:r>
          <m:t>e</m:t>
        </m:r>
        <m:r>
          <m:t>d</m:t>
        </m:r>
        <m:r>
          <m:t>s</m:t>
        </m:r>
        <m:r>
          <m:t>a</m:t>
        </m:r>
        <m:r>
          <m:t>n</m:t>
        </m:r>
        <m:r>
          <m:t>d</m:t>
        </m:r>
        <m:r>
          <m:t>r</m:t>
        </m:r>
        <m:r>
          <m:t>e</m:t>
        </m:r>
        <m:r>
          <m:t>p</m:t>
        </m:r>
        <m:r>
          <m:t>u</m:t>
        </m:r>
        <m:r>
          <m:t>r</m:t>
        </m:r>
        <m:r>
          <m:t>c</m:t>
        </m:r>
        <m:r>
          <m:t>h</m:t>
        </m:r>
        <m:r>
          <m:t>a</m:t>
        </m:r>
        <m:r>
          <m:t>s</m:t>
        </m:r>
        <m:r>
          <m:t>e</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150 million</w:t>
      </w:r>
      <w:r>
        <w:t xml:space="preserve"> </w:t>
      </w:r>
      <w:r>
        <w:t xml:space="preserve">of stock through the April post-quarter period. Since restarting buybacks in September 2025, UDR had repurchased about</w:t>
      </w:r>
      <w:r>
        <w:t xml:space="preserve"> </w:t>
      </w:r>
      <m:oMath>
        <m:r>
          <m:t>268</m:t>
        </m:r>
        <m:r>
          <m:t>m</m:t>
        </m:r>
        <m:r>
          <m:t>i</m:t>
        </m:r>
        <m:r>
          <m:t>l</m:t>
        </m:r>
        <m:r>
          <m:t>l</m:t>
        </m:r>
        <m:r>
          <m:t>i</m:t>
        </m:r>
        <m:r>
          <m:t>o</m:t>
        </m:r>
        <m:r>
          <m:t>n</m:t>
        </m:r>
        <m:r>
          <m:rPr>
            <m:sty m:val="p"/>
          </m:rPr>
          <m:t>*</m:t>
        </m:r>
        <m:r>
          <m:rPr>
            <m:sty m:val="p"/>
          </m:rPr>
          <m:t>*</m:t>
        </m:r>
        <m:r>
          <m:t>o</m:t>
        </m:r>
        <m:r>
          <m:t>f</m:t>
        </m:r>
        <m:r>
          <m:t>s</m:t>
        </m:r>
        <m:r>
          <m:t>t</m:t>
        </m:r>
        <m:r>
          <m:t>o</m:t>
        </m:r>
        <m:r>
          <m:t>c</m:t>
        </m:r>
        <m:r>
          <m:t>k</m:t>
        </m:r>
        <m:r>
          <m:t>a</m:t>
        </m:r>
        <m:r>
          <m:t>t</m:t>
        </m:r>
        <m:r>
          <m:t>a</m:t>
        </m:r>
        <m:r>
          <m:t>n</m:t>
        </m:r>
        <m:r>
          <m:t>a</m:t>
        </m:r>
        <m:r>
          <m:t>v</m:t>
        </m:r>
        <m:r>
          <m:t>e</m:t>
        </m:r>
        <m:r>
          <m:t>r</m:t>
        </m:r>
        <m:r>
          <m:t>a</m:t>
        </m:r>
        <m:r>
          <m:t>g</m:t>
        </m:r>
        <m:r>
          <m:t>e</m:t>
        </m:r>
        <m:r>
          <m:t>p</m:t>
        </m:r>
        <m:r>
          <m:t>r</m:t>
        </m:r>
        <m:r>
          <m:t>i</m:t>
        </m:r>
        <m:r>
          <m:t>c</m:t>
        </m:r>
        <m:r>
          <m:t>e</m:t>
        </m:r>
        <m:r>
          <m:t>n</m:t>
        </m:r>
        <m:r>
          <m:t>e</m:t>
        </m:r>
        <m:r>
          <m:t>a</m:t>
        </m:r>
        <m:r>
          <m:t>r</m:t>
        </m:r>
        <m:r>
          <m:rPr>
            <m:sty m:val="p"/>
          </m:rPr>
          <m:t>*</m:t>
        </m:r>
        <m:r>
          <m:rPr>
            <m:sty m:val="p"/>
          </m:rPr>
          <m:t>*</m:t>
        </m:r>
      </m:oMath>
      <w:r>
        <w:rPr>
          <w:b/>
          <w:bCs/>
        </w:rPr>
        <w:t xml:space="preserve">35.96</w:t>
      </w:r>
      <w:r>
        <w:t xml:space="preserve">.</w:t>
      </w:r>
    </w:p>
    <w:p>
      <w:pPr>
        <w:pStyle w:val="BodyText"/>
      </w:pPr>
      <w:r>
        <w:t xml:space="preserve">Management’s logic was straightforward: sell lower-growth, higher-capex assets in the private market at full value and repurchase what it viewed as a higher-quality public-market portfolio at a discount.</w:t>
      </w:r>
    </w:p>
    <w:p>
      <w:pPr>
        <w:pStyle w:val="BodyText"/>
      </w:pPr>
      <w:r>
        <w:t xml:space="preserve">That thesis worked well initially, but it is worth reassessing ahead of earnings. UDR closed at</w:t>
      </w:r>
      <w:r>
        <w:t xml:space="preserve"> </w:t>
      </w:r>
      <w:r>
        <w:rPr>
          <w:b/>
          <w:bCs/>
        </w:rPr>
        <w:t xml:space="preserve">$39.60 on July 24</w:t>
      </w:r>
      <w:r>
        <w:t xml:space="preserve">, up about</w:t>
      </w:r>
      <w:r>
        <w:t xml:space="preserve"> </w:t>
      </w:r>
      <w:r>
        <w:rPr>
          <w:b/>
          <w:bCs/>
        </w:rPr>
        <w:t xml:space="preserve">9.4%</w:t>
      </w:r>
      <w:r>
        <w:t xml:space="preserve"> </w:t>
      </w:r>
      <w:r>
        <w:t xml:space="preserve">since April 28, outperforming EQR, AVB, CPT, and MAA over that span.</w:t>
      </w:r>
    </w:p>
    <w:p>
      <w:pPr>
        <w:pStyle w:val="BodyText"/>
      </w:pPr>
      <w:r>
        <w:t xml:space="preserve">Therefore, the call should clarify:</w:t>
      </w:r>
    </w:p>
    <w:p>
      <w:pPr>
        <w:pStyle w:val="Compact"/>
        <w:numPr>
          <w:ilvl w:val="0"/>
          <w:numId w:val="1006"/>
        </w:numPr>
      </w:pPr>
      <w:r>
        <w:t xml:space="preserve">whether UDR completed additional dispositions during 2Q;</w:t>
      </w:r>
    </w:p>
    <w:p>
      <w:pPr>
        <w:pStyle w:val="Compact"/>
        <w:numPr>
          <w:ilvl w:val="0"/>
          <w:numId w:val="1006"/>
        </w:numPr>
      </w:pPr>
      <w:r>
        <w:t xml:space="preserve">how much dry powder remains for repurchases;</w:t>
      </w:r>
    </w:p>
    <w:p>
      <w:pPr>
        <w:pStyle w:val="Compact"/>
        <w:numPr>
          <w:ilvl w:val="0"/>
          <w:numId w:val="1006"/>
        </w:numPr>
      </w:pPr>
      <w:r>
        <w:t xml:space="preserve">whether management still sees the same public/private valuation discount;</w:t>
      </w:r>
    </w:p>
    <w:p>
      <w:pPr>
        <w:pStyle w:val="Compact"/>
        <w:numPr>
          <w:ilvl w:val="0"/>
          <w:numId w:val="1006"/>
        </w:numPr>
      </w:pPr>
      <w:r>
        <w:t xml:space="preserve">whether buybacks remain the preferred use of proceeds at the current share price; and</w:t>
      </w:r>
    </w:p>
    <w:p>
      <w:pPr>
        <w:pStyle w:val="Compact"/>
        <w:numPr>
          <w:ilvl w:val="0"/>
          <w:numId w:val="1006"/>
        </w:numPr>
      </w:pPr>
      <w:r>
        <w:t xml:space="preserve">whether it expects to acquire the second Portland asset discussed in 1Q.</w:t>
      </w:r>
    </w:p>
    <w:p>
      <w:pPr>
        <w:pStyle w:val="FirstParagraph"/>
      </w:pPr>
      <w:r>
        <w:t xml:space="preserve">The Portland strategy is also worth watching. UDR acquired a 232-home Portland community in April through the unwind of a prior structured investment and expected a second acquisition. Management has described Portland as a market with improving job-growth forecasts, modest near-term supply, and potential for a 300–400 basis-point controllable operating-margin improvement over 12–18 months. That is a potentially attractive source of internal growth, though it is smaller than the broader disposition-and-buyback strategy.</w:t>
      </w:r>
    </w:p>
    <w:bookmarkEnd w:id="18"/>
    <w:bookmarkStart w:id="19" w:name="balance-sheet-and-dividend"/>
    <w:p>
      <w:pPr>
        <w:pStyle w:val="Heading2"/>
      </w:pPr>
      <w:r>
        <w:t xml:space="preserve">Balance sheet and dividend</w:t>
      </w:r>
    </w:p>
    <w:p>
      <w:pPr>
        <w:pStyle w:val="FirstParagraph"/>
      </w:pPr>
      <w:r>
        <w:t xml:space="preserve">UDR entered 2Q with a solid balance sheet:</w:t>
      </w:r>
    </w:p>
    <w:p>
      <w:pPr>
        <w:pStyle w:val="Compact"/>
        <w:numPr>
          <w:ilvl w:val="0"/>
          <w:numId w:val="1007"/>
        </w:numPr>
      </w:pPr>
      <w:r>
        <w:t xml:space="preserve">approximately</w:t>
      </w:r>
      <w:r>
        <w:t xml:space="preserve"> </w:t>
      </w:r>
      <w:r>
        <w:rPr>
          <w:b/>
          <w:bCs/>
        </w:rPr>
        <w:t xml:space="preserve">$5.7 billion</w:t>
      </w:r>
      <w:r>
        <w:t xml:space="preserve"> </w:t>
      </w:r>
      <w:r>
        <w:t xml:space="preserve">of total debt;</w:t>
      </w:r>
    </w:p>
    <w:p>
      <w:pPr>
        <w:pStyle w:val="Compact"/>
        <w:numPr>
          <w:ilvl w:val="0"/>
          <w:numId w:val="1007"/>
        </w:numPr>
      </w:pPr>
      <w:r>
        <w:t xml:space="preserve">a</w:t>
      </w:r>
      <w:r>
        <w:t xml:space="preserve"> </w:t>
      </w:r>
      <w:r>
        <w:rPr>
          <w:b/>
          <w:bCs/>
        </w:rPr>
        <w:t xml:space="preserve">3.4% weighted-average interest rate</w:t>
      </w:r>
      <w:r>
        <w:t xml:space="preserve">;</w:t>
      </w:r>
    </w:p>
    <w:p>
      <w:pPr>
        <w:pStyle w:val="Compact"/>
        <w:numPr>
          <w:ilvl w:val="0"/>
          <w:numId w:val="1007"/>
        </w:numPr>
      </w:pPr>
      <w:r>
        <w:rPr>
          <w:b/>
          <w:bCs/>
        </w:rPr>
        <w:t xml:space="preserve">5.6x</w:t>
      </w:r>
      <w:r>
        <w:t xml:space="preserve"> </w:t>
      </w:r>
      <w:r>
        <w:t xml:space="preserve">net debt to EBITDAre, adjusted for non-recurring items;</w:t>
      </w:r>
    </w:p>
    <w:p>
      <w:pPr>
        <w:pStyle w:val="Compact"/>
        <w:numPr>
          <w:ilvl w:val="0"/>
          <w:numId w:val="1007"/>
        </w:numPr>
      </w:pPr>
      <w:r>
        <w:t xml:space="preserve">about</w:t>
      </w:r>
      <w:r>
        <w:t xml:space="preserve"> </w:t>
      </w:r>
      <w:r>
        <w:rPr>
          <w:b/>
          <w:bCs/>
        </w:rPr>
        <w:t xml:space="preserve">$1.1 billion</w:t>
      </w:r>
      <w:r>
        <w:t xml:space="preserve"> </w:t>
      </w:r>
      <w:r>
        <w:t xml:space="preserve">of liquidity; and</w:t>
      </w:r>
    </w:p>
    <w:p>
      <w:pPr>
        <w:pStyle w:val="Compact"/>
        <w:numPr>
          <w:ilvl w:val="0"/>
          <w:numId w:val="1007"/>
        </w:numPr>
      </w:pPr>
      <w:r>
        <w:t xml:space="preserve">roughly</w:t>
      </w:r>
      <w:r>
        <w:t xml:space="preserve"> </w:t>
      </w:r>
      <w:r>
        <w:rPr>
          <w:b/>
          <w:bCs/>
        </w:rPr>
        <w:t xml:space="preserve">$355 million</w:t>
      </w:r>
      <w:r>
        <w:t xml:space="preserve"> </w:t>
      </w:r>
      <w:r>
        <w:t xml:space="preserve">of debt maturities remaining in 2026, excluding certain short-term facilities.</w:t>
      </w:r>
    </w:p>
    <w:p>
      <w:pPr>
        <w:pStyle w:val="FirstParagraph"/>
      </w:pPr>
      <w:r>
        <w:t xml:space="preserve">The balance sheet is not likely to be the controversy in this report. The focus instead will be on whether UDR preserves financial flexibility while continuing buybacks and selective acquisitions.</w:t>
      </w:r>
    </w:p>
    <w:p>
      <w:pPr>
        <w:pStyle w:val="BodyText"/>
      </w:pPr>
      <w:r>
        <w:t xml:space="preserve">The company also shifted to a</w:t>
      </w:r>
      <w:r>
        <w:t xml:space="preserve"> </w:t>
      </w:r>
      <w:r>
        <w:rPr>
          <w:b/>
          <w:bCs/>
        </w:rPr>
        <w:t xml:space="preserve">monthly common dividend</w:t>
      </w:r>
      <w:r>
        <w:t xml:space="preserve"> </w:t>
      </w:r>
      <w:r>
        <w:t xml:space="preserve">beginning with the July 2026 payment, while keeping the quarterly-equivalent dividend at</w:t>
      </w:r>
      <w:r>
        <w:t xml:space="preserve"> </w:t>
      </w:r>
      <w:r>
        <w:rPr>
          <w:b/>
          <w:bCs/>
        </w:rPr>
        <w:t xml:space="preserve">$0.435 per share</w:t>
      </w:r>
      <w:r>
        <w:t xml:space="preserve">. The move does not change the annual payout, but it is part of management’s effort to broaden retail and income-oriented shareholder appeal. Investors should view it as a shareholder-marketing initiative rather than a fundamental earnings catalyst.</w:t>
      </w:r>
    </w:p>
    <w:bookmarkEnd w:id="19"/>
    <w:bookmarkStart w:id="20" w:name="questions-that-matter-most-on-the-call"/>
    <w:p>
      <w:pPr>
        <w:pStyle w:val="Heading2"/>
      </w:pPr>
      <w:r>
        <w:t xml:space="preserve">Questions that matter most on the call</w:t>
      </w:r>
    </w:p>
    <w:p>
      <w:pPr>
        <w:pStyle w:val="Compact"/>
        <w:numPr>
          <w:ilvl w:val="0"/>
          <w:numId w:val="1008"/>
        </w:numPr>
      </w:pPr>
      <w:r>
        <w:rPr>
          <w:b/>
          <w:bCs/>
        </w:rPr>
        <w:t xml:space="preserve">What were May, June, and July blended lease-rate trends by major market?</w:t>
      </w:r>
    </w:p>
    <w:p>
      <w:pPr>
        <w:pStyle w:val="Compact"/>
        <w:numPr>
          <w:ilvl w:val="0"/>
          <w:numId w:val="1008"/>
        </w:numPr>
      </w:pPr>
      <w:r>
        <w:rPr>
          <w:b/>
          <w:bCs/>
        </w:rPr>
        <w:t xml:space="preserve">Have Sunbelt new-lease rates stabilized, particularly in Florida and Nashville?</w:t>
      </w:r>
    </w:p>
    <w:p>
      <w:pPr>
        <w:pStyle w:val="Compact"/>
        <w:numPr>
          <w:ilvl w:val="0"/>
          <w:numId w:val="1008"/>
        </w:numPr>
      </w:pPr>
      <w:r>
        <w:rPr>
          <w:b/>
          <w:bCs/>
        </w:rPr>
        <w:t xml:space="preserve">Is San Francisco’s strength persisting, and how much is return-to-office or technology employment contributing?</w:t>
      </w:r>
    </w:p>
    <w:p>
      <w:pPr>
        <w:pStyle w:val="Compact"/>
        <w:numPr>
          <w:ilvl w:val="0"/>
          <w:numId w:val="1008"/>
        </w:numPr>
      </w:pPr>
      <w:r>
        <w:rPr>
          <w:b/>
          <w:bCs/>
        </w:rPr>
        <w:t xml:space="preserve">How much of 1Q expense pressure reversed in 2Q, and what is the current full-year expense outlook?</w:t>
      </w:r>
    </w:p>
    <w:p>
      <w:pPr>
        <w:pStyle w:val="Compact"/>
        <w:numPr>
          <w:ilvl w:val="0"/>
          <w:numId w:val="1008"/>
        </w:numPr>
      </w:pPr>
      <w:r>
        <w:rPr>
          <w:b/>
          <w:bCs/>
        </w:rPr>
        <w:t xml:space="preserve">Will UDR maintain, raise, or tighten 2026 same-store revenue, expense, NOI, and FFOA guidance?</w:t>
      </w:r>
    </w:p>
    <w:p>
      <w:pPr>
        <w:pStyle w:val="Compact"/>
        <w:numPr>
          <w:ilvl w:val="0"/>
          <w:numId w:val="1008"/>
        </w:numPr>
      </w:pPr>
      <w:r>
        <w:rPr>
          <w:b/>
          <w:bCs/>
        </w:rPr>
        <w:t xml:space="preserve">What additional asset sales closed or are under contract, and what cap rates were achieved?</w:t>
      </w:r>
    </w:p>
    <w:p>
      <w:pPr>
        <w:pStyle w:val="Compact"/>
        <w:numPr>
          <w:ilvl w:val="0"/>
          <w:numId w:val="1008"/>
        </w:numPr>
      </w:pPr>
      <w:r>
        <w:rPr>
          <w:b/>
          <w:bCs/>
        </w:rPr>
        <w:t xml:space="preserve">Does management still view buybacks as compelling at a share price near $40?</w:t>
      </w:r>
    </w:p>
    <w:p>
      <w:pPr>
        <w:pStyle w:val="Compact"/>
        <w:numPr>
          <w:ilvl w:val="0"/>
          <w:numId w:val="1008"/>
        </w:numPr>
      </w:pPr>
      <w:r>
        <w:rPr>
          <w:b/>
          <w:bCs/>
        </w:rPr>
        <w:t xml:space="preserve">What is the expected timing and earnings contribution from the second Portland acquisition?</w:t>
      </w:r>
    </w:p>
    <w:p>
      <w:pPr>
        <w:pStyle w:val="Compact"/>
        <w:numPr>
          <w:ilvl w:val="0"/>
          <w:numId w:val="1008"/>
        </w:numPr>
      </w:pPr>
      <w:r>
        <w:rPr>
          <w:b/>
          <w:bCs/>
        </w:rPr>
        <w:t xml:space="preserve">How is UDR assessing regulatory exposure in Boston, New York, Washington, D.C., and California?</w:t>
      </w:r>
    </w:p>
    <w:p>
      <w:pPr>
        <w:pStyle w:val="Compact"/>
        <w:numPr>
          <w:ilvl w:val="0"/>
          <w:numId w:val="1008"/>
        </w:numPr>
      </w:pPr>
      <w:r>
        <w:rPr>
          <w:b/>
          <w:bCs/>
        </w:rPr>
        <w:t xml:space="preserve">Has the timing of the Riverside development opening changed after management moved expected initial occupancy forward to 4Q26?</w:t>
      </w:r>
    </w:p>
    <w:bookmarkEnd w:id="20"/>
    <w:bookmarkStart w:id="21" w:name="bottom-line"/>
    <w:p>
      <w:pPr>
        <w:pStyle w:val="Heading2"/>
      </w:pPr>
      <w:r>
        <w:t xml:space="preserve">Bottom line</w:t>
      </w:r>
    </w:p>
    <w:p>
      <w:pPr>
        <w:pStyle w:val="FirstParagraph"/>
      </w:pPr>
      <w:r>
        <w:t xml:space="preserve">UDR’s 2Q report should be a test of whether a favorable</w:t>
      </w:r>
      <w:r>
        <w:t xml:space="preserve"> </w:t>
      </w:r>
      <w:r>
        <w:rPr>
          <w:b/>
          <w:bCs/>
        </w:rPr>
        <w:t xml:space="preserve">coastal-demand / shrinking-future-supply</w:t>
      </w:r>
      <w:r>
        <w:t xml:space="preserve"> </w:t>
      </w:r>
      <w:r>
        <w:t xml:space="preserve">narrative can overcome still-soft Sunbelt markets and cost pressure. A clean print near the $0.63 FFOA midpoint, continued strength in San Francisco and New York, stable Sunbelt commentary, and maintained full-year guidance would likely be viewed constructively.</w:t>
      </w:r>
    </w:p>
    <w:p>
      <w:pPr>
        <w:pStyle w:val="BodyText"/>
      </w:pPr>
      <w:r>
        <w:t xml:space="preserve">The more important medium-term issue is capital allocation. UDR has differentiated itself by selling lower-growth assets and retiring stock at what management viewed as a large discount to private-market value. With the stock now materially above recent buyback levels, investors will want evidence that the company can continue to compound per-share value—not merely continue the same playbook.</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2026-07-27T00:23:27Z</dcterms:created>
  <dcterms:modified xsi:type="dcterms:W3CDTF">2026-07-27T00:23:27Z</dcterms:modified>
</cp:coreProperties>
</file>

<file path=docProps/custom.xml><?xml version="1.0" encoding="utf-8"?>
<Properties xmlns="http://schemas.openxmlformats.org/officeDocument/2006/custom-properties" xmlns:vt="http://schemas.openxmlformats.org/officeDocument/2006/docPropsVTypes"/>
</file>