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UDR, Inc. (UDR)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UDR, Inc.</w:t>
            </w:r>
          </w:p>
        </w:tc>
        <w:tc>
          <w:tcPr>
            <w:tcW w:type="dxa" w:w="2160"/>
          </w:tcPr>
          <w:p>
            <w:r>
              <w:rPr>
                <w:rFonts w:ascii="Calibri" w:hAnsi="Calibri"/>
                <w:b/>
                <w:sz w:val="22"/>
              </w:rPr>
              <w:t>Upcoming Earnings</w:t>
            </w:r>
          </w:p>
        </w:tc>
        <w:tc>
          <w:tcPr>
            <w:tcW w:type="dxa" w:w="2160"/>
          </w:tcPr>
          <w:p>
            <w:r>
              <w:rPr>
                <w:rFonts w:ascii="Calibri" w:hAnsi="Calibri"/>
                <w:sz w:val="22"/>
              </w:rPr>
              <w:t>Q2 2026 (expected late July / early August 2026)</w:t>
            </w:r>
          </w:p>
        </w:tc>
      </w:tr>
      <w:tr>
        <w:tc>
          <w:tcPr>
            <w:tcW w:type="dxa" w:w="2160"/>
          </w:tcPr>
          <w:p>
            <w:r>
              <w:rPr>
                <w:rFonts w:ascii="Calibri" w:hAnsi="Calibri"/>
                <w:b/>
                <w:sz w:val="22"/>
              </w:rPr>
              <w:t>Ticker</w:t>
            </w:r>
          </w:p>
        </w:tc>
        <w:tc>
          <w:tcPr>
            <w:tcW w:type="dxa" w:w="2160"/>
          </w:tcPr>
          <w:p>
            <w:r>
              <w:rPr>
                <w:rFonts w:ascii="Calibri" w:hAnsi="Calibri"/>
                <w:sz w:val="22"/>
              </w:rPr>
              <w:t>UDR (NYSE)</w:t>
            </w:r>
          </w:p>
        </w:tc>
        <w:tc>
          <w:tcPr>
            <w:tcW w:type="dxa" w:w="2160"/>
          </w:tcPr>
          <w:p>
            <w:r>
              <w:rPr>
                <w:rFonts w:ascii="Calibri" w:hAnsi="Calibri"/>
                <w:b/>
                <w:sz w:val="22"/>
              </w:rPr>
              <w:t>Prepared Date</w:t>
            </w:r>
          </w:p>
        </w:tc>
        <w:tc>
          <w:tcPr>
            <w:tcW w:type="dxa" w:w="2160"/>
          </w:tcPr>
          <w:p>
            <w:r>
              <w:rPr>
                <w:rFonts w:ascii="Calibri" w:hAnsi="Calibri"/>
                <w:sz w:val="22"/>
              </w:rPr>
              <w:t>July 26, 2026</w:t>
            </w:r>
          </w:p>
        </w:tc>
      </w:tr>
      <w:tr>
        <w:tc>
          <w:tcPr>
            <w:tcW w:type="dxa" w:w="2160"/>
          </w:tcPr>
          <w:p>
            <w:r>
              <w:rPr>
                <w:rFonts w:ascii="Calibri" w:hAnsi="Calibri"/>
                <w:b/>
                <w:sz w:val="22"/>
              </w:rPr>
              <w:t>Sector</w:t>
            </w:r>
          </w:p>
        </w:tc>
        <w:tc>
          <w:tcPr>
            <w:tcW w:type="dxa" w:w="2160"/>
          </w:tcPr>
          <w:p>
            <w:r>
              <w:rPr>
                <w:rFonts w:ascii="Calibri" w:hAnsi="Calibri"/>
                <w:sz w:val="22"/>
              </w:rPr>
              <w:t>REIT — Residential / Multifamily</w:t>
            </w:r>
          </w:p>
        </w:tc>
        <w:tc>
          <w:tcPr>
            <w:tcW w:type="dxa" w:w="2160"/>
          </w:tcPr>
          <w:p>
            <w:r>
              <w:rPr>
                <w:rFonts w:ascii="Calibri" w:hAnsi="Calibri"/>
                <w:b/>
                <w:sz w:val="22"/>
              </w:rPr>
              <w:t>Last Earnings</w:t>
            </w:r>
          </w:p>
        </w:tc>
        <w:tc>
          <w:tcPr>
            <w:tcW w:type="dxa" w:w="2160"/>
          </w:tcPr>
          <w:p>
            <w:r>
              <w:rPr>
                <w:rFonts w:ascii="Calibri" w:hAnsi="Calibri"/>
                <w:sz w:val="22"/>
              </w:rPr>
              <w:t>April 29–30,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a manageable bar with blended lease rate growth tracking in-line with guidance, but the real swing factor is whether coastal acceleration (SF +10%, NY +7% blends in Q1) can offset any Sunbelt softness that emerged in April.</w:t>
      </w:r>
    </w:p>
    <w:p>
      <w:r>
        <w:rPr>
          <w:rFonts w:ascii="Calibri" w:hAnsi="Calibri"/>
          <w:color w:val="525866"/>
          <w:sz w:val="22"/>
        </w:rPr>
        <w:t xml:space="preserve">UDR heads into Q2 2026 with a relatively clean setup: management guided to $0.62–$0.64 FFOA/share (midpoint $0.63) and blended lease rate growth of 1.5–2.0%, both of which appear achievable given April trends tracking at 1.6% blends and renewal offers running 5–5.5% through July. </w:t>
      </w:r>
      <w:r>
        <w:rPr>
          <w:rFonts w:ascii="Calibri" w:hAnsi="Calibri"/>
          <w:color w:val="525866"/>
          <w:sz w:val="22"/>
        </w:rPr>
        <w:t>The bar is not demanding — consensus FFOA of $0.634 sits just above the guidance midpoint, and same-store revenue growth consensus of ~0.97% YoY is well within the full-year guidance range of 0.25–2.25%.</w:t>
      </w:r>
      <w:r>
        <w:rPr>
          <w:rFonts w:ascii="Calibri" w:hAnsi="Calibri"/>
          <w:color w:val="525866"/>
          <w:sz w:val="22"/>
        </w:rPr>
        <w:t xml:space="preserve"> Management’s tone on the Q1 call was measured but constructive: they maintained full-year guidance unchanged, characterized Sunbelt softness in April as a “blip,” and highlighted that coastal markets (75% of NOI) are accelerating — San Francisco blends at ~10% and New York at ~7% represent the strongest performance in the peer group.</w:t>
      </w:r>
      <w:r>
        <w:rPr>
          <w:rFonts w:ascii="Calibri" w:hAnsi="Calibri"/>
          <w:color w:val="525866"/>
          <w:sz w:val="22"/>
        </w:rPr>
        <w:t xml:space="preserve"> Estimate revisions have been stable post-Q1, with FFOA consensus for Q2 at $0.634 vs. the $0.624 post-Q1 baseline, suggesting the Street has modestly marked up numbers on the back of the share repurchase accretion and stronger coastal trends.</w:t>
      </w:r>
      <w:r>
        <w:rPr>
          <w:rFonts w:ascii="Calibri" w:hAnsi="Calibri"/>
          <w:color w:val="525866"/>
          <w:sz w:val="22"/>
        </w:rPr>
        <w:t xml:space="preserve"> The stock has re-rated sharply since last earnings — up ~9.5% vs. REZ ETF +11.5% and SPY +3.8% — meaning some of the good news is priced in, though UDR still trades at a discount to apartment REIT peers on forward multiples.</w:t>
      </w:r>
      <w:r>
        <w:rPr>
          <w:rFonts w:ascii="Calibri" w:hAnsi="Calibri"/>
          <w:color w:val="525866"/>
          <w:sz w:val="22"/>
        </w:rPr>
        <w:t xml:space="preserve"> The key wildcard is the Sunbelt trajectory: if Florida and Nashville market rents recover through the summer as management expects, same-store NOI could inflect positive for the first time since Q4 2025, which would be a meaningful positive surprise given consensus is modeling a slight NOI decline.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FFOA/share at $0.634 sits just above the $0.63 guidance midpoint, and same-store revenue growth of ~0.97% YoY is well within the full-year guidance band. </w:t>
      </w:r>
      <w:r>
        <w:rPr>
          <w:rFonts w:ascii="Calibri" w:hAnsi="Calibri"/>
          <w:color w:val="525866"/>
          <w:sz w:val="22"/>
        </w:rPr>
        <w:t>Blended lease rate growth is the bigger swing factor: consensus at ~2.20% for Q2 is above the 1.5–2.0% guidance range, creating modest upside risk if coastal momentum sustains.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FFOA per Share — Diluted ($)</w:t>
            </w:r>
          </w:p>
        </w:tc>
        <w:tc>
          <w:tcPr>
            <w:tcW w:type="dxa" w:w="1234"/>
          </w:tcPr>
          <w:p>
            <w:r>
              <w:rPr>
                <w:rFonts w:ascii="Calibri" w:hAnsi="Calibri"/>
                <w:sz w:val="22"/>
              </w:rPr>
              <w:t>$0.62</w:t>
            </w:r>
          </w:p>
        </w:tc>
        <w:tc>
          <w:tcPr>
            <w:tcW w:type="dxa" w:w="1234"/>
          </w:tcPr>
          <w:p>
            <w:r>
              <w:rPr>
                <w:rFonts w:ascii="Calibri" w:hAnsi="Calibri"/>
                <w:sz w:val="22"/>
              </w:rPr>
              <w:t>$0.64</w:t>
            </w:r>
          </w:p>
        </w:tc>
        <w:tc>
          <w:tcPr>
            <w:tcW w:type="dxa" w:w="1234"/>
          </w:tcPr>
          <w:p>
            <w:r>
              <w:rPr>
                <w:rFonts w:ascii="Calibri" w:hAnsi="Calibri"/>
                <w:sz w:val="22"/>
              </w:rPr>
              <w:t>$0.634</w:t>
            </w:r>
          </w:p>
        </w:tc>
        <w:tc>
          <w:tcPr>
            <w:tcW w:type="dxa" w:w="1234"/>
          </w:tcPr>
          <w:p>
            <w:r>
              <w:rPr>
                <w:rFonts w:ascii="Calibri" w:hAnsi="Calibri"/>
                <w:sz w:val="22"/>
              </w:rPr>
              <w:t>−0.9% YoY</w:t>
            </w:r>
          </w:p>
        </w:tc>
        <w:tc>
          <w:tcPr>
            <w:tcW w:type="dxa" w:w="1234"/>
          </w:tcPr>
          <w:p>
            <w:r>
              <w:rPr>
                <w:rFonts w:ascii="Calibri" w:hAnsi="Calibri"/>
                <w:sz w:val="22"/>
              </w:rPr>
              <w:t>$0.62–$0.64 (mid $0.63)</w:t>
            </w:r>
          </w:p>
        </w:tc>
        <w:tc>
          <w:tcPr>
            <w:tcW w:type="dxa" w:w="1234"/>
          </w:tcPr>
          <w:p>
            <w:r>
              <w:rPr>
                <w:rFonts w:ascii="Calibri" w:hAnsi="Calibri"/>
                <w:sz w:val="22"/>
              </w:rPr>
              <w:t>+0.6% vs. mid</w:t>
            </w:r>
          </w:p>
        </w:tc>
      </w:tr>
      <w:tr>
        <w:tc>
          <w:tcPr>
            <w:tcW w:type="dxa" w:w="1234"/>
          </w:tcPr>
          <w:p>
            <w:r>
              <w:rPr>
                <w:rFonts w:ascii="Calibri" w:hAnsi="Calibri"/>
                <w:sz w:val="22"/>
              </w:rPr>
              <w:t>Same-Store Revenue Growth YoY (%)</w:t>
            </w:r>
          </w:p>
        </w:tc>
        <w:tc>
          <w:tcPr>
            <w:tcW w:type="dxa" w:w="1234"/>
          </w:tcPr>
          <w:p>
            <w:r>
              <w:rPr>
                <w:rFonts w:ascii="Calibri" w:hAnsi="Calibri"/>
                <w:sz w:val="22"/>
              </w:rPr>
              <w:t>0.9%</w:t>
            </w:r>
          </w:p>
        </w:tc>
        <w:tc>
          <w:tcPr>
            <w:tcW w:type="dxa" w:w="1234"/>
          </w:tcPr>
          <w:p>
            <w:r>
              <w:rPr>
                <w:rFonts w:ascii="Calibri" w:hAnsi="Calibri"/>
                <w:sz w:val="22"/>
              </w:rPr>
              <w:t>2.5%</w:t>
            </w:r>
          </w:p>
        </w:tc>
        <w:tc>
          <w:tcPr>
            <w:tcW w:type="dxa" w:w="1234"/>
          </w:tcPr>
          <w:p>
            <w:r>
              <w:rPr>
                <w:rFonts w:ascii="Calibri" w:hAnsi="Calibri"/>
                <w:sz w:val="22"/>
              </w:rPr>
              <w:t>0.97%</w:t>
            </w:r>
          </w:p>
        </w:tc>
        <w:tc>
          <w:tcPr>
            <w:tcW w:type="dxa" w:w="1234"/>
          </w:tcPr>
          <w:p>
            <w:r>
              <w:rPr>
                <w:rFonts w:ascii="Calibri" w:hAnsi="Calibri"/>
                <w:sz w:val="22"/>
              </w:rPr>
              <w:t>−1.5 pp YoY</w:t>
            </w:r>
          </w:p>
        </w:tc>
        <w:tc>
          <w:tcPr>
            <w:tcW w:type="dxa" w:w="1234"/>
          </w:tcPr>
          <w:p>
            <w:r>
              <w:rPr>
                <w:rFonts w:ascii="Calibri" w:hAnsi="Calibri"/>
                <w:sz w:val="22"/>
              </w:rPr>
              <w:t>0.25%–2.25% FY (mid 1.25%)</w:t>
            </w:r>
          </w:p>
        </w:tc>
        <w:tc>
          <w:tcPr>
            <w:tcW w:type="dxa" w:w="1234"/>
          </w:tcPr>
          <w:p>
            <w:r>
              <w:rPr>
                <w:rFonts w:ascii="Calibri" w:hAnsi="Calibri"/>
                <w:sz w:val="22"/>
              </w:rPr>
              <w:t>N/A — Q2-specific guidance not provided</w:t>
            </w:r>
          </w:p>
        </w:tc>
      </w:tr>
      <w:tr>
        <w:tc>
          <w:tcPr>
            <w:tcW w:type="dxa" w:w="1234"/>
          </w:tcPr>
          <w:p>
            <w:r>
              <w:rPr>
                <w:rFonts w:ascii="Calibri" w:hAnsi="Calibri"/>
                <w:sz w:val="22"/>
              </w:rPr>
              <w:t>Same-Store Revenue ($M)</w:t>
            </w:r>
          </w:p>
        </w:tc>
        <w:tc>
          <w:tcPr>
            <w:tcW w:type="dxa" w:w="1234"/>
          </w:tcPr>
          <w:p>
            <w:r>
              <w:rPr>
                <w:rFonts w:ascii="Calibri" w:hAnsi="Calibri"/>
                <w:sz w:val="22"/>
              </w:rPr>
              <w:t>$398.6M</w:t>
            </w:r>
          </w:p>
        </w:tc>
        <w:tc>
          <w:tcPr>
            <w:tcW w:type="dxa" w:w="1234"/>
          </w:tcPr>
          <w:p>
            <w:r>
              <w:rPr>
                <w:rFonts w:ascii="Calibri" w:hAnsi="Calibri"/>
                <w:sz w:val="22"/>
              </w:rPr>
              <w:t>$397.2M</w:t>
            </w:r>
          </w:p>
        </w:tc>
        <w:tc>
          <w:tcPr>
            <w:tcW w:type="dxa" w:w="1234"/>
          </w:tcPr>
          <w:p>
            <w:r>
              <w:rPr>
                <w:rFonts w:ascii="Calibri" w:hAnsi="Calibri"/>
                <w:sz w:val="22"/>
              </w:rPr>
              <w:t>$400.8M</w:t>
            </w:r>
          </w:p>
        </w:tc>
        <w:tc>
          <w:tcPr>
            <w:tcW w:type="dxa" w:w="1234"/>
          </w:tcPr>
          <w:p>
            <w:r>
              <w:rPr>
                <w:rFonts w:ascii="Calibri" w:hAnsi="Calibri"/>
                <w:sz w:val="22"/>
              </w:rPr>
              <w:t>+$3.6M / +0.9% YoY</w:t>
            </w:r>
          </w:p>
        </w:tc>
        <w:tc>
          <w:tcPr>
            <w:tcW w:type="dxa" w:w="1234"/>
          </w:tcPr>
          <w:p>
            <w:r>
              <w:rPr>
                <w:rFonts w:ascii="Calibri" w:hAnsi="Calibri"/>
                <w:sz w:val="22"/>
              </w:rPr>
              <w:t>N/A — Q2-specific not provided</w:t>
            </w:r>
          </w:p>
        </w:tc>
        <w:tc>
          <w:tcPr>
            <w:tcW w:type="dxa" w:w="1234"/>
          </w:tcPr>
          <w:p>
            <w:r>
              <w:rPr>
                <w:rFonts w:ascii="Calibri" w:hAnsi="Calibri"/>
                <w:sz w:val="22"/>
              </w:rPr>
              <w:t>N/A</w:t>
            </w:r>
          </w:p>
        </w:tc>
      </w:tr>
      <w:tr>
        <w:tc>
          <w:tcPr>
            <w:tcW w:type="dxa" w:w="1234"/>
          </w:tcPr>
          <w:p>
            <w:r>
              <w:rPr>
                <w:rFonts w:ascii="Calibri" w:hAnsi="Calibri"/>
                <w:sz w:val="22"/>
              </w:rPr>
              <w:t>Same-Store NOI Growth YoY (%)</w:t>
            </w:r>
          </w:p>
        </w:tc>
        <w:tc>
          <w:tcPr>
            <w:tcW w:type="dxa" w:w="1234"/>
          </w:tcPr>
          <w:p>
            <w:r>
              <w:rPr>
                <w:rFonts w:ascii="Calibri" w:hAnsi="Calibri"/>
                <w:sz w:val="22"/>
              </w:rPr>
              <w:t>−0.8%</w:t>
            </w:r>
          </w:p>
        </w:tc>
        <w:tc>
          <w:tcPr>
            <w:tcW w:type="dxa" w:w="1234"/>
          </w:tcPr>
          <w:p>
            <w:r>
              <w:rPr>
                <w:rFonts w:ascii="Calibri" w:hAnsi="Calibri"/>
                <w:sz w:val="22"/>
              </w:rPr>
              <w:t>2.9%</w:t>
            </w:r>
          </w:p>
        </w:tc>
        <w:tc>
          <w:tcPr>
            <w:tcW w:type="dxa" w:w="1234"/>
          </w:tcPr>
          <w:p>
            <w:r>
              <w:rPr>
                <w:rFonts w:ascii="Calibri" w:hAnsi="Calibri"/>
                <w:sz w:val="22"/>
              </w:rPr>
              <w:t>−0.30%</w:t>
            </w:r>
          </w:p>
        </w:tc>
        <w:tc>
          <w:tcPr>
            <w:tcW w:type="dxa" w:w="1234"/>
          </w:tcPr>
          <w:p>
            <w:r>
              <w:rPr>
                <w:rFonts w:ascii="Calibri" w:hAnsi="Calibri"/>
                <w:sz w:val="22"/>
              </w:rPr>
              <w:t>−3.2 pp YoY</w:t>
            </w:r>
          </w:p>
        </w:tc>
        <w:tc>
          <w:tcPr>
            <w:tcW w:type="dxa" w:w="1234"/>
          </w:tcPr>
          <w:p>
            <w:r>
              <w:rPr>
                <w:rFonts w:ascii="Calibri" w:hAnsi="Calibri"/>
                <w:sz w:val="22"/>
              </w:rPr>
              <w:t>(1.00)%–1.25% FY (mid 0.125%)</w:t>
            </w:r>
          </w:p>
        </w:tc>
        <w:tc>
          <w:tcPr>
            <w:tcW w:type="dxa" w:w="1234"/>
          </w:tcPr>
          <w:p>
            <w:r>
              <w:rPr>
                <w:rFonts w:ascii="Calibri" w:hAnsi="Calibri"/>
                <w:sz w:val="22"/>
              </w:rPr>
              <w:t>N/A — Q2-specific not provided</w:t>
            </w:r>
          </w:p>
        </w:tc>
      </w:tr>
      <w:tr>
        <w:tc>
          <w:tcPr>
            <w:tcW w:type="dxa" w:w="1234"/>
          </w:tcPr>
          <w:p>
            <w:r>
              <w:rPr>
                <w:rFonts w:ascii="Calibri" w:hAnsi="Calibri"/>
                <w:sz w:val="22"/>
              </w:rPr>
              <w:t>Same-Store NOI ($M)</w:t>
            </w:r>
          </w:p>
        </w:tc>
        <w:tc>
          <w:tcPr>
            <w:tcW w:type="dxa" w:w="1234"/>
          </w:tcPr>
          <w:p>
            <w:r>
              <w:rPr>
                <w:rFonts w:ascii="Calibri" w:hAnsi="Calibri"/>
                <w:sz w:val="22"/>
              </w:rPr>
              <w:t>$266.9M</w:t>
            </w:r>
          </w:p>
        </w:tc>
        <w:tc>
          <w:tcPr>
            <w:tcW w:type="dxa" w:w="1234"/>
          </w:tcPr>
          <w:p>
            <w:r>
              <w:rPr>
                <w:rFonts w:ascii="Calibri" w:hAnsi="Calibri"/>
                <w:sz w:val="22"/>
              </w:rPr>
              <w:t>$273.8M</w:t>
            </w:r>
          </w:p>
        </w:tc>
        <w:tc>
          <w:tcPr>
            <w:tcW w:type="dxa" w:w="1234"/>
          </w:tcPr>
          <w:p>
            <w:r>
              <w:rPr>
                <w:rFonts w:ascii="Calibri" w:hAnsi="Calibri"/>
                <w:sz w:val="22"/>
              </w:rPr>
              <w:t>$273.0M</w:t>
            </w:r>
          </w:p>
        </w:tc>
        <w:tc>
          <w:tcPr>
            <w:tcW w:type="dxa" w:w="1234"/>
          </w:tcPr>
          <w:p>
            <w:r>
              <w:rPr>
                <w:rFonts w:ascii="Calibri" w:hAnsi="Calibri"/>
                <w:sz w:val="22"/>
              </w:rPr>
              <w:t>−0.3% YoY</w:t>
            </w:r>
          </w:p>
        </w:tc>
        <w:tc>
          <w:tcPr>
            <w:tcW w:type="dxa" w:w="1234"/>
          </w:tcPr>
          <w:p>
            <w:r>
              <w:rPr>
                <w:rFonts w:ascii="Calibri" w:hAnsi="Calibri"/>
                <w:sz w:val="22"/>
              </w:rPr>
              <w:t>N/A — Q2-specific not provided</w:t>
            </w:r>
          </w:p>
        </w:tc>
        <w:tc>
          <w:tcPr>
            <w:tcW w:type="dxa" w:w="1234"/>
          </w:tcPr>
          <w:p>
            <w:r>
              <w:rPr>
                <w:rFonts w:ascii="Calibri" w:hAnsi="Calibri"/>
                <w:sz w:val="22"/>
              </w:rPr>
              <w:t>N/A</w:t>
            </w:r>
          </w:p>
        </w:tc>
      </w:tr>
      <w:tr>
        <w:tc>
          <w:tcPr>
            <w:tcW w:type="dxa" w:w="1234"/>
          </w:tcPr>
          <w:p>
            <w:r>
              <w:rPr>
                <w:rFonts w:ascii="Calibri" w:hAnsi="Calibri"/>
                <w:sz w:val="22"/>
              </w:rPr>
              <w:t>Same-Store Expense Growth YoY (%)</w:t>
            </w:r>
          </w:p>
        </w:tc>
        <w:tc>
          <w:tcPr>
            <w:tcW w:type="dxa" w:w="1234"/>
          </w:tcPr>
          <w:p>
            <w:r>
              <w:rPr>
                <w:rFonts w:ascii="Calibri" w:hAnsi="Calibri"/>
                <w:sz w:val="22"/>
              </w:rPr>
              <w:t>4.4%</w:t>
            </w:r>
          </w:p>
        </w:tc>
        <w:tc>
          <w:tcPr>
            <w:tcW w:type="dxa" w:w="1234"/>
          </w:tcPr>
          <w:p>
            <w:r>
              <w:rPr>
                <w:rFonts w:ascii="Calibri" w:hAnsi="Calibri"/>
                <w:sz w:val="22"/>
              </w:rPr>
              <w:t>1.7%</w:t>
            </w:r>
          </w:p>
        </w:tc>
        <w:tc>
          <w:tcPr>
            <w:tcW w:type="dxa" w:w="1234"/>
          </w:tcPr>
          <w:p>
            <w:r>
              <w:rPr>
                <w:rFonts w:ascii="Calibri" w:hAnsi="Calibri"/>
                <w:sz w:val="22"/>
              </w:rPr>
              <w:t>3.79%</w:t>
            </w:r>
          </w:p>
        </w:tc>
        <w:tc>
          <w:tcPr>
            <w:tcW w:type="dxa" w:w="1234"/>
          </w:tcPr>
          <w:p>
            <w:r>
              <w:rPr>
                <w:rFonts w:ascii="Calibri" w:hAnsi="Calibri"/>
                <w:sz w:val="22"/>
              </w:rPr>
              <w:t>+2.1 pp YoY</w:t>
            </w:r>
          </w:p>
        </w:tc>
        <w:tc>
          <w:tcPr>
            <w:tcW w:type="dxa" w:w="1234"/>
          </w:tcPr>
          <w:p>
            <w:r>
              <w:rPr>
                <w:rFonts w:ascii="Calibri" w:hAnsi="Calibri"/>
                <w:sz w:val="22"/>
              </w:rPr>
              <w:t>3.00%–4.50% FY (mid 3.75%)</w:t>
            </w:r>
          </w:p>
        </w:tc>
        <w:tc>
          <w:tcPr>
            <w:tcW w:type="dxa" w:w="1234"/>
          </w:tcPr>
          <w:p>
            <w:r>
              <w:rPr>
                <w:rFonts w:ascii="Calibri" w:hAnsi="Calibri"/>
                <w:sz w:val="22"/>
              </w:rPr>
              <w:t>+0.04 pp vs. mid</w:t>
            </w:r>
          </w:p>
        </w:tc>
      </w:tr>
      <w:tr>
        <w:tc>
          <w:tcPr>
            <w:tcW w:type="dxa" w:w="1234"/>
          </w:tcPr>
          <w:p>
            <w:r>
              <w:rPr>
                <w:rFonts w:ascii="Calibri" w:hAnsi="Calibri"/>
                <w:sz w:val="22"/>
              </w:rPr>
              <w:t>Effective Blended Lease Rate — Same Store (%)</w:t>
            </w:r>
          </w:p>
        </w:tc>
        <w:tc>
          <w:tcPr>
            <w:tcW w:type="dxa" w:w="1234"/>
          </w:tcPr>
          <w:p>
            <w:r>
              <w:rPr>
                <w:rFonts w:ascii="Calibri" w:hAnsi="Calibri"/>
                <w:sz w:val="22"/>
              </w:rPr>
              <w:t>1.6%</w:t>
            </w:r>
          </w:p>
        </w:tc>
        <w:tc>
          <w:tcPr>
            <w:tcW w:type="dxa" w:w="1234"/>
          </w:tcPr>
          <w:p>
            <w:r>
              <w:rPr>
                <w:rFonts w:ascii="Calibri" w:hAnsi="Calibri"/>
                <w:sz w:val="22"/>
              </w:rPr>
              <w:t>2.8%</w:t>
            </w:r>
          </w:p>
        </w:tc>
        <w:tc>
          <w:tcPr>
            <w:tcW w:type="dxa" w:w="1234"/>
          </w:tcPr>
          <w:p>
            <w:r>
              <w:rPr>
                <w:rFonts w:ascii="Calibri" w:hAnsi="Calibri"/>
                <w:sz w:val="22"/>
              </w:rPr>
              <w:t>2.20%</w:t>
            </w:r>
          </w:p>
        </w:tc>
        <w:tc>
          <w:tcPr>
            <w:tcW w:type="dxa" w:w="1234"/>
          </w:tcPr>
          <w:p>
            <w:r>
              <w:rPr>
                <w:rFonts w:ascii="Calibri" w:hAnsi="Calibri"/>
                <w:sz w:val="22"/>
              </w:rPr>
              <w:t>−0.6 pp YoY</w:t>
            </w:r>
          </w:p>
        </w:tc>
        <w:tc>
          <w:tcPr>
            <w:tcW w:type="dxa" w:w="1234"/>
          </w:tcPr>
          <w:p>
            <w:r>
              <w:rPr>
                <w:rFonts w:ascii="Calibri" w:hAnsi="Calibri"/>
                <w:sz w:val="22"/>
              </w:rPr>
              <w:t>1.5%–2.0% (Q2 guidance)</w:t>
            </w:r>
          </w:p>
        </w:tc>
        <w:tc>
          <w:tcPr>
            <w:tcW w:type="dxa" w:w="1234"/>
          </w:tcPr>
          <w:p>
            <w:r>
              <w:rPr>
                <w:rFonts w:ascii="Calibri" w:hAnsi="Calibri"/>
                <w:sz w:val="22"/>
              </w:rPr>
              <w:t>+20 bps above guidance mid</w:t>
            </w:r>
          </w:p>
        </w:tc>
      </w:tr>
      <w:tr>
        <w:tc>
          <w:tcPr>
            <w:tcW w:type="dxa" w:w="1234"/>
          </w:tcPr>
          <w:p>
            <w:r>
              <w:rPr>
                <w:rFonts w:ascii="Calibri" w:hAnsi="Calibri"/>
                <w:sz w:val="22"/>
              </w:rPr>
              <w:t>Effective Renewal Rate — Same Store (%)</w:t>
            </w:r>
          </w:p>
        </w:tc>
        <w:tc>
          <w:tcPr>
            <w:tcW w:type="dxa" w:w="1234"/>
          </w:tcPr>
          <w:p>
            <w:r>
              <w:rPr>
                <w:rFonts w:ascii="Calibri" w:hAnsi="Calibri"/>
                <w:sz w:val="22"/>
              </w:rPr>
              <w:t>5.2%</w:t>
            </w:r>
          </w:p>
        </w:tc>
        <w:tc>
          <w:tcPr>
            <w:tcW w:type="dxa" w:w="1234"/>
          </w:tcPr>
          <w:p>
            <w:r>
              <w:rPr>
                <w:rFonts w:ascii="Calibri" w:hAnsi="Calibri"/>
                <w:sz w:val="22"/>
              </w:rPr>
              <w:t>5.0%</w:t>
            </w:r>
          </w:p>
        </w:tc>
        <w:tc>
          <w:tcPr>
            <w:tcW w:type="dxa" w:w="1234"/>
          </w:tcPr>
          <w:p>
            <w:r>
              <w:rPr>
                <w:rFonts w:ascii="Calibri" w:hAnsi="Calibri"/>
                <w:sz w:val="22"/>
              </w:rPr>
              <w:t>4.66%</w:t>
            </w:r>
          </w:p>
        </w:tc>
        <w:tc>
          <w:tcPr>
            <w:tcW w:type="dxa" w:w="1234"/>
          </w:tcPr>
          <w:p>
            <w:r>
              <w:rPr>
                <w:rFonts w:ascii="Calibri" w:hAnsi="Calibri"/>
                <w:sz w:val="22"/>
              </w:rPr>
              <w:t>−0.3 pp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Effective New Lease Rate — Same Store (%)</w:t>
            </w:r>
          </w:p>
        </w:tc>
        <w:tc>
          <w:tcPr>
            <w:tcW w:type="dxa" w:w="1234"/>
          </w:tcPr>
          <w:p>
            <w:r>
              <w:rPr>
                <w:rFonts w:ascii="Calibri" w:hAnsi="Calibri"/>
                <w:sz w:val="22"/>
              </w:rPr>
              <w:t>−2.4%</w:t>
            </w:r>
          </w:p>
        </w:tc>
        <w:tc>
          <w:tcPr>
            <w:tcW w:type="dxa" w:w="1234"/>
          </w:tcPr>
          <w:p>
            <w:r>
              <w:rPr>
                <w:rFonts w:ascii="Calibri" w:hAnsi="Calibri"/>
                <w:sz w:val="22"/>
              </w:rPr>
              <w:t>0.3%</w:t>
            </w:r>
          </w:p>
        </w:tc>
        <w:tc>
          <w:tcPr>
            <w:tcW w:type="dxa" w:w="1234"/>
          </w:tcPr>
          <w:p>
            <w:r>
              <w:rPr>
                <w:rFonts w:ascii="Calibri" w:hAnsi="Calibri"/>
                <w:sz w:val="22"/>
              </w:rPr>
              <w:t>−1.27%</w:t>
            </w:r>
          </w:p>
        </w:tc>
        <w:tc>
          <w:tcPr>
            <w:tcW w:type="dxa" w:w="1234"/>
          </w:tcPr>
          <w:p>
            <w:r>
              <w:rPr>
                <w:rFonts w:ascii="Calibri" w:hAnsi="Calibri"/>
                <w:sz w:val="22"/>
              </w:rPr>
              <w:t>−1.6 pp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Occupancy Rate — Same Store (%)</w:t>
            </w:r>
          </w:p>
        </w:tc>
        <w:tc>
          <w:tcPr>
            <w:tcW w:type="dxa" w:w="1234"/>
          </w:tcPr>
          <w:p>
            <w:r>
              <w:rPr>
                <w:rFonts w:ascii="Calibri" w:hAnsi="Calibri"/>
                <w:sz w:val="22"/>
              </w:rPr>
              <w:t>96.6%</w:t>
            </w:r>
          </w:p>
        </w:tc>
        <w:tc>
          <w:tcPr>
            <w:tcW w:type="dxa" w:w="1234"/>
          </w:tcPr>
          <w:p>
            <w:r>
              <w:rPr>
                <w:rFonts w:ascii="Calibri" w:hAnsi="Calibri"/>
                <w:sz w:val="22"/>
              </w:rPr>
              <w:t>96.9%</w:t>
            </w:r>
          </w:p>
        </w:tc>
        <w:tc>
          <w:tcPr>
            <w:tcW w:type="dxa" w:w="1234"/>
          </w:tcPr>
          <w:p>
            <w:r>
              <w:rPr>
                <w:rFonts w:ascii="Calibri" w:hAnsi="Calibri"/>
                <w:sz w:val="22"/>
              </w:rPr>
              <w:t>96.62%</w:t>
            </w:r>
          </w:p>
        </w:tc>
        <w:tc>
          <w:tcPr>
            <w:tcW w:type="dxa" w:w="1234"/>
          </w:tcPr>
          <w:p>
            <w:r>
              <w:rPr>
                <w:rFonts w:ascii="Calibri" w:hAnsi="Calibri"/>
                <w:sz w:val="22"/>
              </w:rPr>
              <w:t>−0.3 pp YoY</w:t>
            </w:r>
          </w:p>
        </w:tc>
        <w:tc>
          <w:tcPr>
            <w:tcW w:type="dxa" w:w="1234"/>
          </w:tcPr>
          <w:p>
            <w:r>
              <w:rPr>
                <w:rFonts w:ascii="Calibri" w:hAnsi="Calibri"/>
                <w:sz w:val="22"/>
              </w:rPr>
              <w:t>Mid-96% range (Q2 guidance)</w:t>
            </w:r>
          </w:p>
        </w:tc>
        <w:tc>
          <w:tcPr>
            <w:tcW w:type="dxa" w:w="1234"/>
          </w:tcPr>
          <w:p>
            <w:r>
              <w:rPr>
                <w:rFonts w:ascii="Calibri" w:hAnsi="Calibri"/>
                <w:sz w:val="22"/>
              </w:rPr>
              <w:t>In-line with guidance</w:t>
            </w:r>
          </w:p>
        </w:tc>
      </w:tr>
    </w:tbl>
    <w:p>
      <w:r>
        <w:rPr>
          <w:rFonts w:ascii="Calibri" w:hAnsi="Calibri"/>
          <w:i/>
          <w:color w:val="525866"/>
          <w:sz w:val="22"/>
        </w:rPr>
        <w:t>Sources: Visible Alpha Consensus and Actuals Data; UDR Q1 2026 Earnings Release (April 29, 2026); UDR Q1 2026 Earnings Call Transcript (April 30, 2026).</w:t>
      </w:r>
    </w:p>
    <w:p>
      <w:pPr>
        <w:pStyle w:val="Heading3"/>
      </w:pPr>
      <w:r>
        <w:rPr>
          <w:rFonts w:ascii="Calibri" w:hAnsi="Calibri"/>
          <w:b/>
          <w:color w:val="3B4259"/>
          <w:sz w:val="24"/>
        </w:rPr>
        <w:t>Table 2 — Beat/Miss History (Last 8 Quarters)</w:t>
      </w:r>
    </w:p>
    <w:p>
      <w:r>
        <w:rPr>
          <w:rFonts w:ascii="Calibri" w:hAnsi="Calibri"/>
          <w:b/>
          <w:color w:val="525866"/>
          <w:sz w:val="22"/>
        </w:rPr>
        <w:t>Top 2 KPIs: (1) FFOA per Share — Diluted; (2) Same-Store Revenue Growth YoY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FFOA/Share</w:t>
            </w:r>
          </w:p>
        </w:tc>
        <w:tc>
          <w:tcPr>
            <w:tcW w:type="dxa" w:w="1440"/>
          </w:tcPr>
          <w:p>
            <w:r>
              <w:rPr>
                <w:rFonts w:ascii="Calibri" w:hAnsi="Calibri"/>
                <w:sz w:val="22"/>
              </w:rPr>
              <w:t>$0.62</w:t>
            </w:r>
          </w:p>
        </w:tc>
        <w:tc>
          <w:tcPr>
            <w:tcW w:type="dxa" w:w="1440"/>
          </w:tcPr>
          <w:p>
            <w:r>
              <w:rPr>
                <w:rFonts w:ascii="Calibri" w:hAnsi="Calibri"/>
                <w:sz w:val="22"/>
              </w:rPr>
              <w:t>$0.624</w:t>
            </w:r>
          </w:p>
        </w:tc>
        <w:tc>
          <w:tcPr>
            <w:tcW w:type="dxa" w:w="1440"/>
          </w:tcPr>
          <w:p>
            <w:r>
              <w:rPr>
                <w:rFonts w:ascii="Calibri" w:hAnsi="Calibri"/>
                <w:sz w:val="22"/>
              </w:rPr>
              <w:t>−0.6%</w:t>
            </w:r>
          </w:p>
        </w:tc>
        <w:tc>
          <w:tcPr>
            <w:tcW w:type="dxa" w:w="1440"/>
          </w:tcPr>
          <w:p>
            <w:r>
              <w:rPr>
                <w:rFonts w:ascii="Calibri" w:hAnsi="Calibri"/>
                <w:b/>
                <w:color w:val="002FA7"/>
                <w:sz w:val="22"/>
              </w:rPr>
              <w:t>In-Line</w:t>
            </w:r>
          </w:p>
        </w:tc>
      </w:tr>
      <w:tr>
        <w:tc>
          <w:tcPr>
            <w:tcW w:type="dxa" w:w="1440"/>
          </w:tcPr>
          <w:p>
            <w:r>
              <w:rPr>
                <w:rFonts w:ascii="Calibri" w:hAnsi="Calibri"/>
                <w:sz w:val="22"/>
              </w:rPr>
              <w:t>Q1 2026</w:t>
            </w:r>
          </w:p>
        </w:tc>
        <w:tc>
          <w:tcPr>
            <w:tcW w:type="dxa" w:w="1440"/>
          </w:tcPr>
          <w:p>
            <w:r>
              <w:rPr>
                <w:rFonts w:ascii="Calibri" w:hAnsi="Calibri"/>
                <w:sz w:val="22"/>
              </w:rPr>
              <w:t>SS Rev Growth</w:t>
            </w:r>
          </w:p>
        </w:tc>
        <w:tc>
          <w:tcPr>
            <w:tcW w:type="dxa" w:w="1440"/>
          </w:tcPr>
          <w:p>
            <w:r>
              <w:rPr>
                <w:rFonts w:ascii="Calibri" w:hAnsi="Calibri"/>
                <w:sz w:val="22"/>
              </w:rPr>
              <w:t>0.9%</w:t>
            </w:r>
          </w:p>
        </w:tc>
        <w:tc>
          <w:tcPr>
            <w:tcW w:type="dxa" w:w="1440"/>
          </w:tcPr>
          <w:p>
            <w:r>
              <w:rPr>
                <w:rFonts w:ascii="Calibri" w:hAnsi="Calibri"/>
                <w:sz w:val="22"/>
              </w:rPr>
              <w:t>1.24%</w:t>
            </w:r>
          </w:p>
        </w:tc>
        <w:tc>
          <w:tcPr>
            <w:tcW w:type="dxa" w:w="1440"/>
          </w:tcPr>
          <w:p>
            <w:r>
              <w:rPr>
                <w:rFonts w:ascii="Calibri" w:hAnsi="Calibri"/>
                <w:sz w:val="22"/>
              </w:rPr>
              <w:t>−27 bps</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FFOA/Share</w:t>
            </w:r>
          </w:p>
        </w:tc>
        <w:tc>
          <w:tcPr>
            <w:tcW w:type="dxa" w:w="1440"/>
          </w:tcPr>
          <w:p>
            <w:r>
              <w:rPr>
                <w:rFonts w:ascii="Calibri" w:hAnsi="Calibri"/>
                <w:sz w:val="22"/>
              </w:rPr>
              <w:t>$0.64</w:t>
            </w:r>
          </w:p>
        </w:tc>
        <w:tc>
          <w:tcPr>
            <w:tcW w:type="dxa" w:w="1440"/>
          </w:tcPr>
          <w:p>
            <w:r>
              <w:rPr>
                <w:rFonts w:ascii="Calibri" w:hAnsi="Calibri"/>
                <w:sz w:val="22"/>
              </w:rPr>
              <w:t>$0.642</w:t>
            </w:r>
          </w:p>
        </w:tc>
        <w:tc>
          <w:tcPr>
            <w:tcW w:type="dxa" w:w="1440"/>
          </w:tcPr>
          <w:p>
            <w:r>
              <w:rPr>
                <w:rFonts w:ascii="Calibri" w:hAnsi="Calibri"/>
                <w:sz w:val="22"/>
              </w:rPr>
              <w:t>−0.3%</w:t>
            </w:r>
          </w:p>
        </w:tc>
        <w:tc>
          <w:tcPr>
            <w:tcW w:type="dxa" w:w="1440"/>
          </w:tcPr>
          <w:p>
            <w:r>
              <w:rPr>
                <w:rFonts w:ascii="Calibri" w:hAnsi="Calibri"/>
                <w:b/>
                <w:color w:val="002FA7"/>
                <w:sz w:val="22"/>
              </w:rPr>
              <w:t>In-Line</w:t>
            </w:r>
          </w:p>
        </w:tc>
      </w:tr>
      <w:tr>
        <w:tc>
          <w:tcPr>
            <w:tcW w:type="dxa" w:w="1440"/>
          </w:tcPr>
          <w:p>
            <w:r>
              <w:rPr>
                <w:rFonts w:ascii="Calibri" w:hAnsi="Calibri"/>
                <w:sz w:val="22"/>
              </w:rPr>
              <w:t>Q4 2025</w:t>
            </w:r>
          </w:p>
        </w:tc>
        <w:tc>
          <w:tcPr>
            <w:tcW w:type="dxa" w:w="1440"/>
          </w:tcPr>
          <w:p>
            <w:r>
              <w:rPr>
                <w:rFonts w:ascii="Calibri" w:hAnsi="Calibri"/>
                <w:sz w:val="22"/>
              </w:rPr>
              <w:t>SS Rev Growth</w:t>
            </w:r>
          </w:p>
        </w:tc>
        <w:tc>
          <w:tcPr>
            <w:tcW w:type="dxa" w:w="1440"/>
          </w:tcPr>
          <w:p>
            <w:r>
              <w:rPr>
                <w:rFonts w:ascii="Calibri" w:hAnsi="Calibri"/>
                <w:sz w:val="22"/>
              </w:rPr>
              <w:t>1.8%</w:t>
            </w:r>
          </w:p>
        </w:tc>
        <w:tc>
          <w:tcPr>
            <w:tcW w:type="dxa" w:w="1440"/>
          </w:tcPr>
          <w:p>
            <w:r>
              <w:rPr>
                <w:rFonts w:ascii="Calibri" w:hAnsi="Calibri"/>
                <w:sz w:val="22"/>
              </w:rPr>
              <w:t>1.93%</w:t>
            </w:r>
          </w:p>
        </w:tc>
        <w:tc>
          <w:tcPr>
            <w:tcW w:type="dxa" w:w="1440"/>
          </w:tcPr>
          <w:p>
            <w:r>
              <w:rPr>
                <w:rFonts w:ascii="Calibri" w:hAnsi="Calibri"/>
                <w:sz w:val="22"/>
              </w:rPr>
              <w:t>−13 bps</w:t>
            </w:r>
          </w:p>
        </w:tc>
        <w:tc>
          <w:tcPr>
            <w:tcW w:type="dxa" w:w="1440"/>
          </w:tcPr>
          <w:p>
            <w:r>
              <w:rPr>
                <w:rFonts w:ascii="Calibri" w:hAnsi="Calibri"/>
                <w:b/>
                <w:color w:val="002FA7"/>
                <w:sz w:val="22"/>
              </w:rPr>
              <w:t>In-Line</w:t>
            </w:r>
          </w:p>
        </w:tc>
      </w:tr>
      <w:tr>
        <w:tc>
          <w:tcPr>
            <w:tcW w:type="dxa" w:w="1440"/>
          </w:tcPr>
          <w:p>
            <w:r>
              <w:rPr>
                <w:rFonts w:ascii="Calibri" w:hAnsi="Calibri"/>
                <w:sz w:val="22"/>
              </w:rPr>
              <w:t>Q3 2025</w:t>
            </w:r>
          </w:p>
        </w:tc>
        <w:tc>
          <w:tcPr>
            <w:tcW w:type="dxa" w:w="1440"/>
          </w:tcPr>
          <w:p>
            <w:r>
              <w:rPr>
                <w:rFonts w:ascii="Calibri" w:hAnsi="Calibri"/>
                <w:sz w:val="22"/>
              </w:rPr>
              <w:t>FFOA/Share</w:t>
            </w:r>
          </w:p>
        </w:tc>
        <w:tc>
          <w:tcPr>
            <w:tcW w:type="dxa" w:w="1440"/>
          </w:tcPr>
          <w:p>
            <w:r>
              <w:rPr>
                <w:rFonts w:ascii="Calibri" w:hAnsi="Calibri"/>
                <w:sz w:val="22"/>
              </w:rPr>
              <w:t>$0.65</w:t>
            </w:r>
          </w:p>
        </w:tc>
        <w:tc>
          <w:tcPr>
            <w:tcW w:type="dxa" w:w="1440"/>
          </w:tcPr>
          <w:p>
            <w:r>
              <w:rPr>
                <w:rFonts w:ascii="Calibri" w:hAnsi="Calibri"/>
                <w:sz w:val="22"/>
              </w:rPr>
              <w:t>$0.629</w:t>
            </w:r>
          </w:p>
        </w:tc>
        <w:tc>
          <w:tcPr>
            <w:tcW w:type="dxa" w:w="1440"/>
          </w:tcPr>
          <w:p>
            <w:r>
              <w:rPr>
                <w:rFonts w:ascii="Calibri" w:hAnsi="Calibri"/>
                <w:sz w:val="22"/>
              </w:rPr>
              <w:t>+3.3%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SS Rev Growth</w:t>
            </w:r>
          </w:p>
        </w:tc>
        <w:tc>
          <w:tcPr>
            <w:tcW w:type="dxa" w:w="1440"/>
          </w:tcPr>
          <w:p>
            <w:r>
              <w:rPr>
                <w:rFonts w:ascii="Calibri" w:hAnsi="Calibri"/>
                <w:sz w:val="22"/>
              </w:rPr>
              <w:t>2.6%</w:t>
            </w:r>
          </w:p>
        </w:tc>
        <w:tc>
          <w:tcPr>
            <w:tcW w:type="dxa" w:w="1440"/>
          </w:tcPr>
          <w:p>
            <w:r>
              <w:rPr>
                <w:rFonts w:ascii="Calibri" w:hAnsi="Calibri"/>
                <w:sz w:val="22"/>
              </w:rPr>
              <w:t>2.41%</w:t>
            </w:r>
          </w:p>
        </w:tc>
        <w:tc>
          <w:tcPr>
            <w:tcW w:type="dxa" w:w="1440"/>
          </w:tcPr>
          <w:p>
            <w:r>
              <w:rPr>
                <w:rFonts w:ascii="Calibri" w:hAnsi="Calibri"/>
                <w:sz w:val="22"/>
              </w:rPr>
              <w:t>+19 bps</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FFOA/Share</w:t>
            </w:r>
          </w:p>
        </w:tc>
        <w:tc>
          <w:tcPr>
            <w:tcW w:type="dxa" w:w="1440"/>
          </w:tcPr>
          <w:p>
            <w:r>
              <w:rPr>
                <w:rFonts w:ascii="Calibri" w:hAnsi="Calibri"/>
                <w:sz w:val="22"/>
              </w:rPr>
              <w:t>$0.64</w:t>
            </w:r>
          </w:p>
        </w:tc>
        <w:tc>
          <w:tcPr>
            <w:tcW w:type="dxa" w:w="1440"/>
          </w:tcPr>
          <w:p>
            <w:r>
              <w:rPr>
                <w:rFonts w:ascii="Calibri" w:hAnsi="Calibri"/>
                <w:sz w:val="22"/>
              </w:rPr>
              <w:t>$0.625</w:t>
            </w:r>
          </w:p>
        </w:tc>
        <w:tc>
          <w:tcPr>
            <w:tcW w:type="dxa" w:w="1440"/>
          </w:tcPr>
          <w:p>
            <w:r>
              <w:rPr>
                <w:rFonts w:ascii="Calibri" w:hAnsi="Calibri"/>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SS Rev Growth</w:t>
            </w:r>
          </w:p>
        </w:tc>
        <w:tc>
          <w:tcPr>
            <w:tcW w:type="dxa" w:w="1440"/>
          </w:tcPr>
          <w:p>
            <w:r>
              <w:rPr>
                <w:rFonts w:ascii="Calibri" w:hAnsi="Calibri"/>
                <w:sz w:val="22"/>
              </w:rPr>
              <w:t>2.5%</w:t>
            </w:r>
          </w:p>
        </w:tc>
        <w:tc>
          <w:tcPr>
            <w:tcW w:type="dxa" w:w="1440"/>
          </w:tcPr>
          <w:p>
            <w:r>
              <w:rPr>
                <w:rFonts w:ascii="Calibri" w:hAnsi="Calibri"/>
                <w:sz w:val="22"/>
              </w:rPr>
              <w:t>2.37%</w:t>
            </w:r>
          </w:p>
        </w:tc>
        <w:tc>
          <w:tcPr>
            <w:tcW w:type="dxa" w:w="1440"/>
          </w:tcPr>
          <w:p>
            <w:r>
              <w:rPr>
                <w:rFonts w:ascii="Calibri" w:hAnsi="Calibri"/>
                <w:sz w:val="22"/>
              </w:rPr>
              <w:t>+13 bps</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FFOA/Share</w:t>
            </w:r>
          </w:p>
        </w:tc>
        <w:tc>
          <w:tcPr>
            <w:tcW w:type="dxa" w:w="1440"/>
          </w:tcPr>
          <w:p>
            <w:r>
              <w:rPr>
                <w:rFonts w:ascii="Calibri" w:hAnsi="Calibri"/>
                <w:sz w:val="22"/>
              </w:rPr>
              <w:t>$0.61</w:t>
            </w:r>
          </w:p>
        </w:tc>
        <w:tc>
          <w:tcPr>
            <w:tcW w:type="dxa" w:w="1440"/>
          </w:tcPr>
          <w:p>
            <w:r>
              <w:rPr>
                <w:rFonts w:ascii="Calibri" w:hAnsi="Calibri"/>
                <w:sz w:val="22"/>
              </w:rPr>
              <w:t>$0.613</w:t>
            </w:r>
          </w:p>
        </w:tc>
        <w:tc>
          <w:tcPr>
            <w:tcW w:type="dxa" w:w="1440"/>
          </w:tcPr>
          <w:p>
            <w:r>
              <w:rPr>
                <w:rFonts w:ascii="Calibri" w:hAnsi="Calibri"/>
                <w:sz w:val="22"/>
              </w:rPr>
              <w:t>−0.5%</w:t>
            </w:r>
          </w:p>
        </w:tc>
        <w:tc>
          <w:tcPr>
            <w:tcW w:type="dxa" w:w="1440"/>
          </w:tcPr>
          <w:p>
            <w:r>
              <w:rPr>
                <w:rFonts w:ascii="Calibri" w:hAnsi="Calibri"/>
                <w:b/>
                <w:color w:val="002FA7"/>
                <w:sz w:val="22"/>
              </w:rPr>
              <w:t>In-Line</w:t>
            </w:r>
          </w:p>
        </w:tc>
      </w:tr>
      <w:tr>
        <w:tc>
          <w:tcPr>
            <w:tcW w:type="dxa" w:w="1440"/>
          </w:tcPr>
          <w:p>
            <w:r>
              <w:rPr>
                <w:rFonts w:ascii="Calibri" w:hAnsi="Calibri"/>
                <w:sz w:val="22"/>
              </w:rPr>
              <w:t>Q1 2025</w:t>
            </w:r>
          </w:p>
        </w:tc>
        <w:tc>
          <w:tcPr>
            <w:tcW w:type="dxa" w:w="1440"/>
          </w:tcPr>
          <w:p>
            <w:r>
              <w:rPr>
                <w:rFonts w:ascii="Calibri" w:hAnsi="Calibri"/>
                <w:sz w:val="22"/>
              </w:rPr>
              <w:t>SS Rev Growth</w:t>
            </w:r>
          </w:p>
        </w:tc>
        <w:tc>
          <w:tcPr>
            <w:tcW w:type="dxa" w:w="1440"/>
          </w:tcPr>
          <w:p>
            <w:r>
              <w:rPr>
                <w:rFonts w:ascii="Calibri" w:hAnsi="Calibri"/>
                <w:sz w:val="22"/>
              </w:rPr>
              <w:t>2.6%</w:t>
            </w:r>
          </w:p>
        </w:tc>
        <w:tc>
          <w:tcPr>
            <w:tcW w:type="dxa" w:w="1440"/>
          </w:tcPr>
          <w:p>
            <w:r>
              <w:rPr>
                <w:rFonts w:ascii="Calibri" w:hAnsi="Calibri"/>
                <w:sz w:val="22"/>
              </w:rPr>
              <w:t>2.33%</w:t>
            </w:r>
          </w:p>
        </w:tc>
        <w:tc>
          <w:tcPr>
            <w:tcW w:type="dxa" w:w="1440"/>
          </w:tcPr>
          <w:p>
            <w:r>
              <w:rPr>
                <w:rFonts w:ascii="Calibri" w:hAnsi="Calibri"/>
                <w:sz w:val="22"/>
              </w:rPr>
              <w:t>+27 bps</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FFOA/Share</w:t>
            </w:r>
          </w:p>
        </w:tc>
        <w:tc>
          <w:tcPr>
            <w:tcW w:type="dxa" w:w="1440"/>
          </w:tcPr>
          <w:p>
            <w:r>
              <w:rPr>
                <w:rFonts w:ascii="Calibri" w:hAnsi="Calibri"/>
                <w:sz w:val="22"/>
              </w:rPr>
              <w:t>$0.63</w:t>
            </w:r>
          </w:p>
        </w:tc>
        <w:tc>
          <w:tcPr>
            <w:tcW w:type="dxa" w:w="1440"/>
          </w:tcPr>
          <w:p>
            <w:r>
              <w:rPr>
                <w:rFonts w:ascii="Calibri" w:hAnsi="Calibri"/>
                <w:sz w:val="22"/>
              </w:rPr>
              <w:t>$0.630</w:t>
            </w:r>
          </w:p>
        </w:tc>
        <w:tc>
          <w:tcPr>
            <w:tcW w:type="dxa" w:w="1440"/>
          </w:tcPr>
          <w:p>
            <w:r>
              <w:rPr>
                <w:rFonts w:ascii="Calibri" w:hAnsi="Calibri"/>
                <w:sz w:val="22"/>
              </w:rPr>
              <w:t>0.0%</w:t>
            </w:r>
          </w:p>
        </w:tc>
        <w:tc>
          <w:tcPr>
            <w:tcW w:type="dxa" w:w="1440"/>
          </w:tcPr>
          <w:p>
            <w:r>
              <w:rPr>
                <w:rFonts w:ascii="Calibri" w:hAnsi="Calibri"/>
                <w:b/>
                <w:color w:val="002FA7"/>
                <w:sz w:val="22"/>
              </w:rPr>
              <w:t>In-Line</w:t>
            </w:r>
          </w:p>
        </w:tc>
      </w:tr>
      <w:tr>
        <w:tc>
          <w:tcPr>
            <w:tcW w:type="dxa" w:w="1440"/>
          </w:tcPr>
          <w:p>
            <w:r>
              <w:rPr>
                <w:rFonts w:ascii="Calibri" w:hAnsi="Calibri"/>
                <w:sz w:val="22"/>
              </w:rPr>
              <w:t>Q4 2024</w:t>
            </w:r>
          </w:p>
        </w:tc>
        <w:tc>
          <w:tcPr>
            <w:tcW w:type="dxa" w:w="1440"/>
          </w:tcPr>
          <w:p>
            <w:r>
              <w:rPr>
                <w:rFonts w:ascii="Calibri" w:hAnsi="Calibri"/>
                <w:sz w:val="22"/>
              </w:rPr>
              <w:t>SS Rev Growth</w:t>
            </w:r>
          </w:p>
        </w:tc>
        <w:tc>
          <w:tcPr>
            <w:tcW w:type="dxa" w:w="1440"/>
          </w:tcPr>
          <w:p>
            <w:r>
              <w:rPr>
                <w:rFonts w:ascii="Calibri" w:hAnsi="Calibri"/>
                <w:sz w:val="22"/>
              </w:rPr>
              <w:t>2.5%</w:t>
            </w:r>
          </w:p>
        </w:tc>
        <w:tc>
          <w:tcPr>
            <w:tcW w:type="dxa" w:w="1440"/>
          </w:tcPr>
          <w:p>
            <w:r>
              <w:rPr>
                <w:rFonts w:ascii="Calibri" w:hAnsi="Calibri"/>
                <w:sz w:val="22"/>
              </w:rPr>
              <w:t>2.31%</w:t>
            </w:r>
          </w:p>
        </w:tc>
        <w:tc>
          <w:tcPr>
            <w:tcW w:type="dxa" w:w="1440"/>
          </w:tcPr>
          <w:p>
            <w:r>
              <w:rPr>
                <w:rFonts w:ascii="Calibri" w:hAnsi="Calibri"/>
                <w:sz w:val="22"/>
              </w:rPr>
              <w:t>+19 bps</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FFOA/Share</w:t>
            </w:r>
          </w:p>
        </w:tc>
        <w:tc>
          <w:tcPr>
            <w:tcW w:type="dxa" w:w="1440"/>
          </w:tcPr>
          <w:p>
            <w:r>
              <w:rPr>
                <w:rFonts w:ascii="Calibri" w:hAnsi="Calibri"/>
                <w:sz w:val="22"/>
              </w:rPr>
              <w:t>$0.62</w:t>
            </w:r>
          </w:p>
        </w:tc>
        <w:tc>
          <w:tcPr>
            <w:tcW w:type="dxa" w:w="1440"/>
          </w:tcPr>
          <w:p>
            <w:r>
              <w:rPr>
                <w:rFonts w:ascii="Calibri" w:hAnsi="Calibri"/>
                <w:sz w:val="22"/>
              </w:rPr>
              <w:t>$0.620</w:t>
            </w:r>
          </w:p>
        </w:tc>
        <w:tc>
          <w:tcPr>
            <w:tcW w:type="dxa" w:w="1440"/>
          </w:tcPr>
          <w:p>
            <w:r>
              <w:rPr>
                <w:rFonts w:ascii="Calibri" w:hAnsi="Calibri"/>
                <w:sz w:val="22"/>
              </w:rPr>
              <w:t>0.0%</w:t>
            </w:r>
          </w:p>
        </w:tc>
        <w:tc>
          <w:tcPr>
            <w:tcW w:type="dxa" w:w="1440"/>
          </w:tcPr>
          <w:p>
            <w:r>
              <w:rPr>
                <w:rFonts w:ascii="Calibri" w:hAnsi="Calibri"/>
                <w:b/>
                <w:color w:val="002FA7"/>
                <w:sz w:val="22"/>
              </w:rPr>
              <w:t>In-Line</w:t>
            </w:r>
          </w:p>
        </w:tc>
      </w:tr>
      <w:tr>
        <w:tc>
          <w:tcPr>
            <w:tcW w:type="dxa" w:w="1440"/>
          </w:tcPr>
          <w:p>
            <w:r>
              <w:rPr>
                <w:rFonts w:ascii="Calibri" w:hAnsi="Calibri"/>
                <w:sz w:val="22"/>
              </w:rPr>
              <w:t>Q3 2024</w:t>
            </w:r>
          </w:p>
        </w:tc>
        <w:tc>
          <w:tcPr>
            <w:tcW w:type="dxa" w:w="1440"/>
          </w:tcPr>
          <w:p>
            <w:r>
              <w:rPr>
                <w:rFonts w:ascii="Calibri" w:hAnsi="Calibri"/>
                <w:sz w:val="22"/>
              </w:rPr>
              <w:t>SS Rev Growth</w:t>
            </w:r>
          </w:p>
        </w:tc>
        <w:tc>
          <w:tcPr>
            <w:tcW w:type="dxa" w:w="1440"/>
          </w:tcPr>
          <w:p>
            <w:r>
              <w:rPr>
                <w:rFonts w:ascii="Calibri" w:hAnsi="Calibri"/>
                <w:sz w:val="22"/>
              </w:rPr>
              <w:t>1.2%</w:t>
            </w:r>
          </w:p>
        </w:tc>
        <w:tc>
          <w:tcPr>
            <w:tcW w:type="dxa" w:w="1440"/>
          </w:tcPr>
          <w:p>
            <w:r>
              <w:rPr>
                <w:rFonts w:ascii="Calibri" w:hAnsi="Calibri"/>
                <w:sz w:val="22"/>
              </w:rPr>
              <w:t>1.48%</w:t>
            </w:r>
          </w:p>
        </w:tc>
        <w:tc>
          <w:tcPr>
            <w:tcW w:type="dxa" w:w="1440"/>
          </w:tcPr>
          <w:p>
            <w:r>
              <w:rPr>
                <w:rFonts w:ascii="Calibri" w:hAnsi="Calibri"/>
                <w:sz w:val="22"/>
              </w:rPr>
              <w:t>−28 bps</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FFOA/Share</w:t>
            </w:r>
          </w:p>
        </w:tc>
        <w:tc>
          <w:tcPr>
            <w:tcW w:type="dxa" w:w="1440"/>
          </w:tcPr>
          <w:p>
            <w:r>
              <w:rPr>
                <w:rFonts w:ascii="Calibri" w:hAnsi="Calibri"/>
                <w:sz w:val="22"/>
              </w:rPr>
              <w:t>$0.62</w:t>
            </w:r>
          </w:p>
        </w:tc>
        <w:tc>
          <w:tcPr>
            <w:tcW w:type="dxa" w:w="1440"/>
          </w:tcPr>
          <w:p>
            <w:r>
              <w:rPr>
                <w:rFonts w:ascii="Calibri" w:hAnsi="Calibri"/>
                <w:sz w:val="22"/>
              </w:rPr>
              <w:t>$0.614</w:t>
            </w:r>
          </w:p>
        </w:tc>
        <w:tc>
          <w:tcPr>
            <w:tcW w:type="dxa" w:w="1440"/>
          </w:tcPr>
          <w:p>
            <w:r>
              <w:rPr>
                <w:rFonts w:ascii="Calibri" w:hAnsi="Calibri"/>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SS Rev Growth</w:t>
            </w:r>
          </w:p>
        </w:tc>
        <w:tc>
          <w:tcPr>
            <w:tcW w:type="dxa" w:w="1440"/>
          </w:tcPr>
          <w:p>
            <w:r>
              <w:rPr>
                <w:rFonts w:ascii="Calibri" w:hAnsi="Calibri"/>
                <w:sz w:val="22"/>
              </w:rPr>
              <w:t>2.5%</w:t>
            </w:r>
          </w:p>
        </w:tc>
        <w:tc>
          <w:tcPr>
            <w:tcW w:type="dxa" w:w="1440"/>
          </w:tcPr>
          <w:p>
            <w:r>
              <w:rPr>
                <w:rFonts w:ascii="Calibri" w:hAnsi="Calibri"/>
                <w:sz w:val="22"/>
              </w:rPr>
              <w:t>2.42%</w:t>
            </w:r>
          </w:p>
        </w:tc>
        <w:tc>
          <w:tcPr>
            <w:tcW w:type="dxa" w:w="1440"/>
          </w:tcPr>
          <w:p>
            <w:r>
              <w:rPr>
                <w:rFonts w:ascii="Calibri" w:hAnsi="Calibri"/>
                <w:sz w:val="22"/>
              </w:rPr>
              <w:t>+8 bps</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UDR has a strong track record of meeting or beating FFOA/share consensus (7 beats or in-lines out of 8 quarters), with only one modest miss. Same-store revenue growth has been more variable — UDR beat in 5 of 8 quarters but missed in 2 (Q3 2024 and Q1 2026), both driven by weather or supply-related headwinds. The Q1 2026 SS revenue miss was weather-expense driven, not a demand issue, which is important context for Q2.</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guidance was maintained unchanged at the Q1 print — no post-earnings revisions have been issued. </w:t>
      </w:r>
      <w:r>
        <w:rPr>
          <w:rFonts w:ascii="Calibri" w:hAnsi="Calibri"/>
          <w:color w:val="525866"/>
          <w:sz w:val="22"/>
        </w:rPr>
        <w:t>The only post-earnings development was the May 4 authorization of a new 25M share repurchase program, which is accretive to FFOA and signals management confidence in the stock’s discount to NAV.</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FFOA/Share</w:t>
            </w:r>
          </w:p>
        </w:tc>
        <w:tc>
          <w:tcPr>
            <w:tcW w:type="dxa" w:w="1728"/>
          </w:tcPr>
          <w:p>
            <w:r>
              <w:rPr>
                <w:rFonts w:ascii="Calibri" w:hAnsi="Calibri"/>
                <w:sz w:val="22"/>
              </w:rPr>
              <w:t>$0.62–$0.64 (mid $0.63)</w:t>
            </w:r>
          </w:p>
        </w:tc>
        <w:tc>
          <w:tcPr>
            <w:tcW w:type="dxa" w:w="1728"/>
          </w:tcPr>
          <w:p>
            <w:r>
              <w:rPr>
                <w:rFonts w:ascii="Calibri" w:hAnsi="Calibri"/>
                <w:sz w:val="22"/>
              </w:rPr>
              <w:t>—</w:t>
            </w:r>
          </w:p>
        </w:tc>
        <w:tc>
          <w:tcPr>
            <w:tcW w:type="dxa" w:w="1728"/>
          </w:tcPr>
          <w:p>
            <w:r>
              <w:rPr>
                <w:rFonts w:ascii="Calibri" w:hAnsi="Calibri"/>
                <w:sz w:val="22"/>
              </w:rPr>
              <w:t>$0.634</w:t>
            </w:r>
          </w:p>
        </w:tc>
        <w:tc>
          <w:tcPr>
            <w:tcW w:type="dxa" w:w="1728"/>
          </w:tcPr>
          <w:p>
            <w:r>
              <w:rPr>
                <w:rFonts w:ascii="Calibri" w:hAnsi="Calibri"/>
                <w:sz w:val="22"/>
              </w:rPr>
              <w:t>Unchanged; consensus just above midpoint. ~2% sequential increase guided, driven by higher NOI and share repurchase accretion.</w:t>
            </w:r>
          </w:p>
        </w:tc>
      </w:tr>
      <w:tr>
        <w:tc>
          <w:tcPr>
            <w:tcW w:type="dxa" w:w="1728"/>
          </w:tcPr>
          <w:p>
            <w:r>
              <w:rPr>
                <w:rFonts w:ascii="Calibri" w:hAnsi="Calibri"/>
                <w:sz w:val="22"/>
              </w:rPr>
              <w:t>FY 2026 FFOA/Share</w:t>
            </w:r>
          </w:p>
        </w:tc>
        <w:tc>
          <w:tcPr>
            <w:tcW w:type="dxa" w:w="1728"/>
          </w:tcPr>
          <w:p>
            <w:r>
              <w:rPr>
                <w:rFonts w:ascii="Calibri" w:hAnsi="Calibri"/>
                <w:sz w:val="22"/>
              </w:rPr>
              <w:t>$2.47–$2.57 (mid $2.52)</w:t>
            </w:r>
          </w:p>
        </w:tc>
        <w:tc>
          <w:tcPr>
            <w:tcW w:type="dxa" w:w="1728"/>
          </w:tcPr>
          <w:p>
            <w:r>
              <w:rPr>
                <w:rFonts w:ascii="Calibri" w:hAnsi="Calibri"/>
                <w:sz w:val="22"/>
              </w:rPr>
              <w:t>—</w:t>
            </w:r>
          </w:p>
        </w:tc>
        <w:tc>
          <w:tcPr>
            <w:tcW w:type="dxa" w:w="1728"/>
          </w:tcPr>
          <w:p>
            <w:r>
              <w:rPr>
                <w:rFonts w:ascii="Calibri" w:hAnsi="Calibri"/>
                <w:sz w:val="22"/>
              </w:rPr>
              <w:t>$2.533</w:t>
            </w:r>
          </w:p>
        </w:tc>
        <w:tc>
          <w:tcPr>
            <w:tcW w:type="dxa" w:w="1728"/>
          </w:tcPr>
          <w:p>
            <w:r>
              <w:rPr>
                <w:rFonts w:ascii="Calibri" w:hAnsi="Calibri"/>
                <w:sz w:val="22"/>
              </w:rPr>
              <w:t>Unchanged; consensus at $2.533 just above midpoint, reflecting modest accretion from buybacks.</w:t>
            </w:r>
          </w:p>
        </w:tc>
      </w:tr>
      <w:tr>
        <w:tc>
          <w:tcPr>
            <w:tcW w:type="dxa" w:w="1728"/>
          </w:tcPr>
          <w:p>
            <w:r>
              <w:rPr>
                <w:rFonts w:ascii="Calibri" w:hAnsi="Calibri"/>
                <w:sz w:val="22"/>
              </w:rPr>
              <w:t>FY 2026 SS Revenue Growth</w:t>
            </w:r>
          </w:p>
        </w:tc>
        <w:tc>
          <w:tcPr>
            <w:tcW w:type="dxa" w:w="1728"/>
          </w:tcPr>
          <w:p>
            <w:r>
              <w:rPr>
                <w:rFonts w:ascii="Calibri" w:hAnsi="Calibri"/>
                <w:sz w:val="22"/>
              </w:rPr>
              <w:t>0.25%–2.25% (mid 1.25%)</w:t>
            </w:r>
          </w:p>
        </w:tc>
        <w:tc>
          <w:tcPr>
            <w:tcW w:type="dxa" w:w="1728"/>
          </w:tcPr>
          <w:p>
            <w:r>
              <w:rPr>
                <w:rFonts w:ascii="Calibri" w:hAnsi="Calibri"/>
                <w:sz w:val="22"/>
              </w:rPr>
              <w:t>—</w:t>
            </w:r>
          </w:p>
        </w:tc>
        <w:tc>
          <w:tcPr>
            <w:tcW w:type="dxa" w:w="1728"/>
          </w:tcPr>
          <w:p>
            <w:r>
              <w:rPr>
                <w:rFonts w:ascii="Calibri" w:hAnsi="Calibri"/>
                <w:sz w:val="22"/>
              </w:rPr>
              <w:t>1.22%</w:t>
            </w:r>
          </w:p>
        </w:tc>
        <w:tc>
          <w:tcPr>
            <w:tcW w:type="dxa" w:w="1728"/>
          </w:tcPr>
          <w:p>
            <w:r>
              <w:rPr>
                <w:rFonts w:ascii="Calibri" w:hAnsi="Calibri"/>
                <w:sz w:val="22"/>
              </w:rPr>
              <w:t>Unchanged; consensus at 1.22% just below midpoint. Management noted no need for blended lease rate acceleration to hit guidance.</w:t>
            </w:r>
          </w:p>
        </w:tc>
      </w:tr>
      <w:tr>
        <w:tc>
          <w:tcPr>
            <w:tcW w:type="dxa" w:w="1728"/>
          </w:tcPr>
          <w:p>
            <w:r>
              <w:rPr>
                <w:rFonts w:ascii="Calibri" w:hAnsi="Calibri"/>
                <w:sz w:val="22"/>
              </w:rPr>
              <w:t>FY 2026 SS Expense Growth</w:t>
            </w:r>
          </w:p>
        </w:tc>
        <w:tc>
          <w:tcPr>
            <w:tcW w:type="dxa" w:w="1728"/>
          </w:tcPr>
          <w:p>
            <w:r>
              <w:rPr>
                <w:rFonts w:ascii="Calibri" w:hAnsi="Calibri"/>
                <w:sz w:val="22"/>
              </w:rPr>
              <w:t>3.00%–4.50% (mid 3.75%)</w:t>
            </w:r>
          </w:p>
        </w:tc>
        <w:tc>
          <w:tcPr>
            <w:tcW w:type="dxa" w:w="1728"/>
          </w:tcPr>
          <w:p>
            <w:r>
              <w:rPr>
                <w:rFonts w:ascii="Calibri" w:hAnsi="Calibri"/>
                <w:sz w:val="22"/>
              </w:rPr>
              <w:t>—</w:t>
            </w:r>
          </w:p>
        </w:tc>
        <w:tc>
          <w:tcPr>
            <w:tcW w:type="dxa" w:w="1728"/>
          </w:tcPr>
          <w:p>
            <w:r>
              <w:rPr>
                <w:rFonts w:ascii="Calibri" w:hAnsi="Calibri"/>
                <w:sz w:val="22"/>
              </w:rPr>
              <w:t>3.78%</w:t>
            </w:r>
          </w:p>
        </w:tc>
        <w:tc>
          <w:tcPr>
            <w:tcW w:type="dxa" w:w="1728"/>
          </w:tcPr>
          <w:p>
            <w:r>
              <w:rPr>
                <w:rFonts w:ascii="Calibri" w:hAnsi="Calibri"/>
                <w:sz w:val="22"/>
              </w:rPr>
              <w:t>Unchanged; Q1 elevated at 4.4% due to winter storms (~$1.4M incremental). Normalized Q1 would have been ~3.4%, near midpoint. Q2 should normalize.</w:t>
            </w:r>
          </w:p>
        </w:tc>
      </w:tr>
      <w:tr>
        <w:tc>
          <w:tcPr>
            <w:tcW w:type="dxa" w:w="1728"/>
          </w:tcPr>
          <w:p>
            <w:r>
              <w:rPr>
                <w:rFonts w:ascii="Calibri" w:hAnsi="Calibri"/>
                <w:sz w:val="22"/>
              </w:rPr>
              <w:t>FY 2026 SS NOI Growth</w:t>
            </w:r>
          </w:p>
        </w:tc>
        <w:tc>
          <w:tcPr>
            <w:tcW w:type="dxa" w:w="1728"/>
          </w:tcPr>
          <w:p>
            <w:r>
              <w:rPr>
                <w:rFonts w:ascii="Calibri" w:hAnsi="Calibri"/>
                <w:sz w:val="22"/>
              </w:rPr>
              <w:t>(1.00)%–1.25% (mid 0.125%)</w:t>
            </w:r>
          </w:p>
        </w:tc>
        <w:tc>
          <w:tcPr>
            <w:tcW w:type="dxa" w:w="1728"/>
          </w:tcPr>
          <w:p>
            <w:r>
              <w:rPr>
                <w:rFonts w:ascii="Calibri" w:hAnsi="Calibri"/>
                <w:sz w:val="22"/>
              </w:rPr>
              <w:t>—</w:t>
            </w:r>
          </w:p>
        </w:tc>
        <w:tc>
          <w:tcPr>
            <w:tcW w:type="dxa" w:w="1728"/>
          </w:tcPr>
          <w:p>
            <w:r>
              <w:rPr>
                <w:rFonts w:ascii="Calibri" w:hAnsi="Calibri"/>
                <w:sz w:val="22"/>
              </w:rPr>
              <w:t>−0.05%</w:t>
            </w:r>
          </w:p>
        </w:tc>
        <w:tc>
          <w:tcPr>
            <w:tcW w:type="dxa" w:w="1728"/>
          </w:tcPr>
          <w:p>
            <w:r>
              <w:rPr>
                <w:rFonts w:ascii="Calibri" w:hAnsi="Calibri"/>
                <w:sz w:val="22"/>
              </w:rPr>
              <w:t>Unchanged; consensus slightly below midpoint, reflecting residual caution on Sunbelt softness.</w:t>
            </w:r>
          </w:p>
        </w:tc>
      </w:tr>
      <w:tr>
        <w:tc>
          <w:tcPr>
            <w:tcW w:type="dxa" w:w="1728"/>
          </w:tcPr>
          <w:p>
            <w:r>
              <w:rPr>
                <w:rFonts w:ascii="Calibri" w:hAnsi="Calibri"/>
                <w:sz w:val="22"/>
              </w:rPr>
              <w:t>Q2 2026 Blended Lease Rate Growth</w:t>
            </w:r>
          </w:p>
        </w:tc>
        <w:tc>
          <w:tcPr>
            <w:tcW w:type="dxa" w:w="1728"/>
          </w:tcPr>
          <w:p>
            <w:r>
              <w:rPr>
                <w:rFonts w:ascii="Calibri" w:hAnsi="Calibri"/>
                <w:sz w:val="22"/>
              </w:rPr>
              <w:t>1.5%–2.0%</w:t>
            </w:r>
          </w:p>
        </w:tc>
        <w:tc>
          <w:tcPr>
            <w:tcW w:type="dxa" w:w="1728"/>
          </w:tcPr>
          <w:p>
            <w:r>
              <w:rPr>
                <w:rFonts w:ascii="Calibri" w:hAnsi="Calibri"/>
                <w:sz w:val="22"/>
              </w:rPr>
              <w:t>—</w:t>
            </w:r>
          </w:p>
        </w:tc>
        <w:tc>
          <w:tcPr>
            <w:tcW w:type="dxa" w:w="1728"/>
          </w:tcPr>
          <w:p>
            <w:r>
              <w:rPr>
                <w:rFonts w:ascii="Calibri" w:hAnsi="Calibri"/>
                <w:sz w:val="22"/>
              </w:rPr>
              <w:t>~2.20% (VA consensus)</w:t>
            </w:r>
          </w:p>
        </w:tc>
        <w:tc>
          <w:tcPr>
            <w:tcW w:type="dxa" w:w="1728"/>
          </w:tcPr>
          <w:p>
            <w:r>
              <w:rPr>
                <w:rFonts w:ascii="Calibri" w:hAnsi="Calibri"/>
                <w:sz w:val="22"/>
              </w:rPr>
              <w:t>Consensus above guidance range; April tracking at 1.6% blends, coastal markets accelerating. Upside risk if coastal sustains.</w:t>
            </w:r>
          </w:p>
        </w:tc>
      </w:tr>
      <w:tr>
        <w:tc>
          <w:tcPr>
            <w:tcW w:type="dxa" w:w="1728"/>
          </w:tcPr>
          <w:p>
            <w:r>
              <w:rPr>
                <w:rFonts w:ascii="Calibri" w:hAnsi="Calibri"/>
                <w:sz w:val="22"/>
              </w:rPr>
              <w:t>Q2 2026 Occupancy</w:t>
            </w:r>
          </w:p>
        </w:tc>
        <w:tc>
          <w:tcPr>
            <w:tcW w:type="dxa" w:w="1728"/>
          </w:tcPr>
          <w:p>
            <w:r>
              <w:rPr>
                <w:rFonts w:ascii="Calibri" w:hAnsi="Calibri"/>
                <w:sz w:val="22"/>
              </w:rPr>
              <w:t>Mid-96% range</w:t>
            </w:r>
          </w:p>
        </w:tc>
        <w:tc>
          <w:tcPr>
            <w:tcW w:type="dxa" w:w="1728"/>
          </w:tcPr>
          <w:p>
            <w:r>
              <w:rPr>
                <w:rFonts w:ascii="Calibri" w:hAnsi="Calibri"/>
                <w:sz w:val="22"/>
              </w:rPr>
              <w:t>—</w:t>
            </w:r>
          </w:p>
        </w:tc>
        <w:tc>
          <w:tcPr>
            <w:tcW w:type="dxa" w:w="1728"/>
          </w:tcPr>
          <w:p>
            <w:r>
              <w:rPr>
                <w:rFonts w:ascii="Calibri" w:hAnsi="Calibri"/>
                <w:sz w:val="22"/>
              </w:rPr>
              <w:t>96.62% (VA consensus)</w:t>
            </w:r>
          </w:p>
        </w:tc>
        <w:tc>
          <w:tcPr>
            <w:tcW w:type="dxa" w:w="1728"/>
          </w:tcPr>
          <w:p>
            <w:r>
              <w:rPr>
                <w:rFonts w:ascii="Calibri" w:hAnsi="Calibri"/>
                <w:sz w:val="22"/>
              </w:rPr>
              <w:t>In-line with guidance; management expects ~96.5% through July/August, then inch up slightly in Q4.</w:t>
            </w:r>
          </w:p>
        </w:tc>
      </w:tr>
      <w:tr>
        <w:tc>
          <w:tcPr>
            <w:tcW w:type="dxa" w:w="1728"/>
          </w:tcPr>
          <w:p>
            <w:r>
              <w:rPr>
                <w:rFonts w:ascii="Calibri" w:hAnsi="Calibri"/>
                <w:sz w:val="22"/>
              </w:rPr>
              <w:t>Share Repurchase Program</w:t>
            </w:r>
          </w:p>
        </w:tc>
        <w:tc>
          <w:tcPr>
            <w:tcW w:type="dxa" w:w="1728"/>
          </w:tcPr>
          <w:p>
            <w:r>
              <w:rPr>
                <w:rFonts w:ascii="Calibri" w:hAnsi="Calibri"/>
                <w:sz w:val="22"/>
              </w:rPr>
              <w:t>Existing program (4.6M shares remaining)</w:t>
            </w:r>
          </w:p>
        </w:tc>
        <w:tc>
          <w:tcPr>
            <w:tcW w:type="dxa" w:w="1728"/>
          </w:tcPr>
          <w:p>
            <w:r>
              <w:rPr>
                <w:rFonts w:ascii="Calibri" w:hAnsi="Calibri"/>
                <w:sz w:val="22"/>
              </w:rPr>
              <w:t>New 25M share program authorized May 4, 2026</w:t>
            </w:r>
          </w:p>
        </w:tc>
        <w:tc>
          <w:tcPr>
            <w:tcW w:type="dxa" w:w="1728"/>
          </w:tcPr>
          <w:p>
            <w:r>
              <w:rPr>
                <w:rFonts w:ascii="Calibri" w:hAnsi="Calibri"/>
                <w:sz w:val="22"/>
              </w:rPr>
              <w:t>N/A</w:t>
            </w:r>
          </w:p>
        </w:tc>
        <w:tc>
          <w:tcPr>
            <w:tcW w:type="dxa" w:w="1728"/>
          </w:tcPr>
          <w:p>
            <w:r>
              <w:rPr>
                <w:rFonts w:ascii="Calibri" w:hAnsi="Calibri"/>
                <w:sz w:val="22"/>
              </w:rPr>
              <w:t>↑ Expanded at Board level May 4, 2026 (8-K); signals confidence in NAV discount; accretive to FFOA via disposition-funded buybacks.</w:t>
            </w:r>
          </w:p>
        </w:tc>
      </w:tr>
    </w:tbl>
    <w:p>
      <w:r>
        <w:rPr>
          <w:rFonts w:ascii="Calibri" w:hAnsi="Calibri"/>
          <w:i/>
          <w:color w:val="525866"/>
          <w:sz w:val="22"/>
        </w:rPr>
        <w:t>Sources: UDR Q1 2026 Earnings Release &amp; Call (April 29–30, 2026); UDR 8-K (May 4,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stable-to-modestly-higher since the Q1 print — FFOA consensus for Q2 moved from $0.624 to $0.634 (+1.6%), driven by share repurchase accretion. </w:t>
      </w:r>
      <w:r>
        <w:rPr>
          <w:rFonts w:ascii="Calibri" w:hAnsi="Calibri"/>
          <w:color w:val="525866"/>
          <w:sz w:val="22"/>
        </w:rPr>
        <w:t>Same-store revenue and NOI estimates are tracking just below guidance midpoints, consistent with management’s measured tone. No divergence between guidance and estimates that would signal a meaningful risk or cushion.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May 7, 2026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FFOA/Share — Q2 2026</w:t>
            </w:r>
          </w:p>
        </w:tc>
        <w:tc>
          <w:tcPr>
            <w:tcW w:type="dxa" w:w="1080"/>
          </w:tcPr>
          <w:p>
            <w:r>
              <w:rPr>
                <w:rFonts w:ascii="Calibri" w:hAnsi="Calibri"/>
                <w:sz w:val="22"/>
              </w:rPr>
              <w:t>$0.624</w:t>
            </w:r>
          </w:p>
        </w:tc>
        <w:tc>
          <w:tcPr>
            <w:tcW w:type="dxa" w:w="1080"/>
          </w:tcPr>
          <w:p>
            <w:r>
              <w:rPr>
                <w:rFonts w:ascii="Calibri" w:hAnsi="Calibri"/>
                <w:sz w:val="22"/>
              </w:rPr>
              <w:t>$0.634</w:t>
            </w:r>
          </w:p>
        </w:tc>
        <w:tc>
          <w:tcPr>
            <w:tcW w:type="dxa" w:w="1080"/>
          </w:tcPr>
          <w:p>
            <w:r>
              <w:rPr>
                <w:rFonts w:ascii="Calibri" w:hAnsi="Calibri"/>
                <w:sz w:val="22"/>
              </w:rPr>
              <w:t>+1.6%</w:t>
            </w:r>
          </w:p>
        </w:tc>
        <w:tc>
          <w:tcPr>
            <w:tcW w:type="dxa" w:w="1080"/>
          </w:tcPr>
          <w:p>
            <w:r>
              <w:rPr>
                <w:rFonts w:ascii="Calibri" w:hAnsi="Calibri"/>
                <w:sz w:val="22"/>
              </w:rPr>
              <w:t>$0.62–$0.64 (mid $0.63)</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+0.6% vs. mid</w:t>
            </w:r>
          </w:p>
        </w:tc>
      </w:tr>
      <w:tr>
        <w:tc>
          <w:tcPr>
            <w:tcW w:type="dxa" w:w="1080"/>
          </w:tcPr>
          <w:p>
            <w:r>
              <w:rPr>
                <w:rFonts w:ascii="Calibri" w:hAnsi="Calibri"/>
                <w:sz w:val="22"/>
              </w:rPr>
              <w:t>FFOA/Share — FY 2026</w:t>
            </w:r>
          </w:p>
        </w:tc>
        <w:tc>
          <w:tcPr>
            <w:tcW w:type="dxa" w:w="1080"/>
          </w:tcPr>
          <w:p>
            <w:r>
              <w:rPr>
                <w:rFonts w:ascii="Calibri" w:hAnsi="Calibri"/>
                <w:sz w:val="22"/>
              </w:rPr>
              <w:t>$2.533</w:t>
            </w:r>
          </w:p>
        </w:tc>
        <w:tc>
          <w:tcPr>
            <w:tcW w:type="dxa" w:w="1080"/>
          </w:tcPr>
          <w:p>
            <w:r>
              <w:rPr>
                <w:rFonts w:ascii="Calibri" w:hAnsi="Calibri"/>
                <w:sz w:val="22"/>
              </w:rPr>
              <w:t>$2.533</w:t>
            </w:r>
          </w:p>
        </w:tc>
        <w:tc>
          <w:tcPr>
            <w:tcW w:type="dxa" w:w="1080"/>
          </w:tcPr>
          <w:p>
            <w:r>
              <w:rPr>
                <w:rFonts w:ascii="Calibri" w:hAnsi="Calibri"/>
                <w:sz w:val="22"/>
              </w:rPr>
              <w:t>0.0%</w:t>
            </w:r>
          </w:p>
        </w:tc>
        <w:tc>
          <w:tcPr>
            <w:tcW w:type="dxa" w:w="1080"/>
          </w:tcPr>
          <w:p>
            <w:r>
              <w:rPr>
                <w:rFonts w:ascii="Calibri" w:hAnsi="Calibri"/>
                <w:sz w:val="22"/>
              </w:rPr>
              <w:t>$2.47–$2.57 (mid $2.52)</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+0.5% vs. mid</w:t>
            </w:r>
          </w:p>
        </w:tc>
      </w:tr>
      <w:tr>
        <w:tc>
          <w:tcPr>
            <w:tcW w:type="dxa" w:w="1080"/>
          </w:tcPr>
          <w:p>
            <w:r>
              <w:rPr>
                <w:rFonts w:ascii="Calibri" w:hAnsi="Calibri"/>
                <w:sz w:val="22"/>
              </w:rPr>
              <w:t>SS Revenue Growth — Q2 2026</w:t>
            </w:r>
          </w:p>
        </w:tc>
        <w:tc>
          <w:tcPr>
            <w:tcW w:type="dxa" w:w="1080"/>
          </w:tcPr>
          <w:p>
            <w:r>
              <w:rPr>
                <w:rFonts w:ascii="Calibri" w:hAnsi="Calibri"/>
                <w:sz w:val="22"/>
              </w:rPr>
              <w:t>0.97%</w:t>
            </w:r>
          </w:p>
        </w:tc>
        <w:tc>
          <w:tcPr>
            <w:tcW w:type="dxa" w:w="1080"/>
          </w:tcPr>
          <w:p>
            <w:r>
              <w:rPr>
                <w:rFonts w:ascii="Calibri" w:hAnsi="Calibri"/>
                <w:sz w:val="22"/>
              </w:rPr>
              <w:t>0.97%</w:t>
            </w:r>
          </w:p>
        </w:tc>
        <w:tc>
          <w:tcPr>
            <w:tcW w:type="dxa" w:w="1080"/>
          </w:tcPr>
          <w:p>
            <w:r>
              <w:rPr>
                <w:rFonts w:ascii="Calibri" w:hAnsi="Calibri"/>
                <w:sz w:val="22"/>
              </w:rPr>
              <w:t>0.0%</w:t>
            </w:r>
          </w:p>
        </w:tc>
        <w:tc>
          <w:tcPr>
            <w:tcW w:type="dxa" w:w="1080"/>
          </w:tcPr>
          <w:p>
            <w:r>
              <w:rPr>
                <w:rFonts w:ascii="Calibri" w:hAnsi="Calibri"/>
                <w:sz w:val="22"/>
              </w:rPr>
              <w:t>N/A (Q2-specific not provided)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SS Revenue Growth — FY 2026</w:t>
            </w:r>
          </w:p>
        </w:tc>
        <w:tc>
          <w:tcPr>
            <w:tcW w:type="dxa" w:w="1080"/>
          </w:tcPr>
          <w:p>
            <w:r>
              <w:rPr>
                <w:rFonts w:ascii="Calibri" w:hAnsi="Calibri"/>
                <w:sz w:val="22"/>
              </w:rPr>
              <w:t>1.22%</w:t>
            </w:r>
          </w:p>
        </w:tc>
        <w:tc>
          <w:tcPr>
            <w:tcW w:type="dxa" w:w="1080"/>
          </w:tcPr>
          <w:p>
            <w:r>
              <w:rPr>
                <w:rFonts w:ascii="Calibri" w:hAnsi="Calibri"/>
                <w:sz w:val="22"/>
              </w:rPr>
              <w:t>1.22%</w:t>
            </w:r>
          </w:p>
        </w:tc>
        <w:tc>
          <w:tcPr>
            <w:tcW w:type="dxa" w:w="1080"/>
          </w:tcPr>
          <w:p>
            <w:r>
              <w:rPr>
                <w:rFonts w:ascii="Calibri" w:hAnsi="Calibri"/>
                <w:sz w:val="22"/>
              </w:rPr>
              <w:t>0.0%</w:t>
            </w:r>
          </w:p>
        </w:tc>
        <w:tc>
          <w:tcPr>
            <w:tcW w:type="dxa" w:w="1080"/>
          </w:tcPr>
          <w:p>
            <w:r>
              <w:rPr>
                <w:rFonts w:ascii="Calibri" w:hAnsi="Calibri"/>
                <w:sz w:val="22"/>
              </w:rPr>
              <w:t>0.25%–2.25% (mid 1.25%)</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−24 bps below mid</w:t>
            </w:r>
          </w:p>
        </w:tc>
      </w:tr>
      <w:tr>
        <w:tc>
          <w:tcPr>
            <w:tcW w:type="dxa" w:w="1080"/>
          </w:tcPr>
          <w:p>
            <w:r>
              <w:rPr>
                <w:rFonts w:ascii="Calibri" w:hAnsi="Calibri"/>
                <w:sz w:val="22"/>
              </w:rPr>
              <w:t>SS NOI Growth — Q2 2026</w:t>
            </w:r>
          </w:p>
        </w:tc>
        <w:tc>
          <w:tcPr>
            <w:tcW w:type="dxa" w:w="1080"/>
          </w:tcPr>
          <w:p>
            <w:r>
              <w:rPr>
                <w:rFonts w:ascii="Calibri" w:hAnsi="Calibri"/>
                <w:sz w:val="22"/>
              </w:rPr>
              <w:t>−0.30%</w:t>
            </w:r>
          </w:p>
        </w:tc>
        <w:tc>
          <w:tcPr>
            <w:tcW w:type="dxa" w:w="1080"/>
          </w:tcPr>
          <w:p>
            <w:r>
              <w:rPr>
                <w:rFonts w:ascii="Calibri" w:hAnsi="Calibri"/>
                <w:sz w:val="22"/>
              </w:rPr>
              <w:t>−0.30%</w:t>
            </w:r>
          </w:p>
        </w:tc>
        <w:tc>
          <w:tcPr>
            <w:tcW w:type="dxa" w:w="1080"/>
          </w:tcPr>
          <w:p>
            <w:r>
              <w:rPr>
                <w:rFonts w:ascii="Calibri" w:hAnsi="Calibri"/>
                <w:sz w:val="22"/>
              </w:rPr>
              <w:t>0.0%</w:t>
            </w:r>
          </w:p>
        </w:tc>
        <w:tc>
          <w:tcPr>
            <w:tcW w:type="dxa" w:w="1080"/>
          </w:tcPr>
          <w:p>
            <w:r>
              <w:rPr>
                <w:rFonts w:ascii="Calibri" w:hAnsi="Calibri"/>
                <w:sz w:val="22"/>
              </w:rPr>
              <w:t>N/A (Q2-specific not provided)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SS NOI Growth — FY 2026</w:t>
            </w:r>
          </w:p>
        </w:tc>
        <w:tc>
          <w:tcPr>
            <w:tcW w:type="dxa" w:w="1080"/>
          </w:tcPr>
          <w:p>
            <w:r>
              <w:rPr>
                <w:rFonts w:ascii="Calibri" w:hAnsi="Calibri"/>
                <w:sz w:val="22"/>
              </w:rPr>
              <w:t>−0.05%</w:t>
            </w:r>
          </w:p>
        </w:tc>
        <w:tc>
          <w:tcPr>
            <w:tcW w:type="dxa" w:w="1080"/>
          </w:tcPr>
          <w:p>
            <w:r>
              <w:rPr>
                <w:rFonts w:ascii="Calibri" w:hAnsi="Calibri"/>
                <w:sz w:val="22"/>
              </w:rPr>
              <w:t>−0.05%</w:t>
            </w:r>
          </w:p>
        </w:tc>
        <w:tc>
          <w:tcPr>
            <w:tcW w:type="dxa" w:w="1080"/>
          </w:tcPr>
          <w:p>
            <w:r>
              <w:rPr>
                <w:rFonts w:ascii="Calibri" w:hAnsi="Calibri"/>
                <w:sz w:val="22"/>
              </w:rPr>
              <w:t>0.0%</w:t>
            </w:r>
          </w:p>
        </w:tc>
        <w:tc>
          <w:tcPr>
            <w:tcW w:type="dxa" w:w="1080"/>
          </w:tcPr>
          <w:p>
            <w:r>
              <w:rPr>
                <w:rFonts w:ascii="Calibri" w:hAnsi="Calibri"/>
                <w:sz w:val="22"/>
              </w:rPr>
              <w:t>(1.00)%–1.25% (mid 0.125%)</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−18 bps below mid</w:t>
            </w:r>
          </w:p>
        </w:tc>
      </w:tr>
      <w:tr>
        <w:tc>
          <w:tcPr>
            <w:tcW w:type="dxa" w:w="1080"/>
          </w:tcPr>
          <w:p>
            <w:r>
              <w:rPr>
                <w:rFonts w:ascii="Calibri" w:hAnsi="Calibri"/>
                <w:sz w:val="22"/>
              </w:rPr>
              <w:t>Blended Lease Rate — Q2 2026</w:t>
            </w:r>
          </w:p>
        </w:tc>
        <w:tc>
          <w:tcPr>
            <w:tcW w:type="dxa" w:w="1080"/>
          </w:tcPr>
          <w:p>
            <w:r>
              <w:rPr>
                <w:rFonts w:ascii="Calibri" w:hAnsi="Calibri"/>
                <w:sz w:val="22"/>
              </w:rPr>
              <w:t>2.20%</w:t>
            </w:r>
          </w:p>
        </w:tc>
        <w:tc>
          <w:tcPr>
            <w:tcW w:type="dxa" w:w="1080"/>
          </w:tcPr>
          <w:p>
            <w:r>
              <w:rPr>
                <w:rFonts w:ascii="Calibri" w:hAnsi="Calibri"/>
                <w:sz w:val="22"/>
              </w:rPr>
              <w:t>2.20%</w:t>
            </w:r>
          </w:p>
        </w:tc>
        <w:tc>
          <w:tcPr>
            <w:tcW w:type="dxa" w:w="1080"/>
          </w:tcPr>
          <w:p>
            <w:r>
              <w:rPr>
                <w:rFonts w:ascii="Calibri" w:hAnsi="Calibri"/>
                <w:sz w:val="22"/>
              </w:rPr>
              <w:t>0.0%</w:t>
            </w:r>
          </w:p>
        </w:tc>
        <w:tc>
          <w:tcPr>
            <w:tcW w:type="dxa" w:w="1080"/>
          </w:tcPr>
          <w:p>
            <w:r>
              <w:rPr>
                <w:rFonts w:ascii="Calibri" w:hAnsi="Calibri"/>
                <w:sz w:val="22"/>
              </w:rPr>
              <w:t>1.5%–2.0%</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+45 bps above guidance mid</w:t>
            </w:r>
          </w:p>
        </w:tc>
      </w:tr>
    </w:tbl>
    <w:p>
      <w:r>
        <w:rPr>
          <w:rFonts w:ascii="Calibri" w:hAnsi="Calibri"/>
          <w:b/>
          <w:color w:val="525866"/>
          <w:sz w:val="22"/>
        </w:rPr>
        <w:t xml:space="preserve">Note: </w:t>
      </w:r>
      <w:r>
        <w:rPr>
          <w:rFonts w:ascii="Calibri" w:hAnsi="Calibri"/>
          <w:color w:val="525866"/>
          <w:sz w:val="22"/>
        </w:rPr>
        <w:t>The post-Q1 baseline (May 7, 2026) is 5 trading days after the April 29–30 earnings release. FFOA/share estimates moved up modestly post-Q1, driven by share repurchase accretion from the new 25M share program. SS revenue and NOI estimates have been stable, tracking just below guidance midpoints. The blended lease rate consensus at 2.20% sits above the 1.5–2.0% guidance range, suggesting the Street is embedding some coastal outperformance.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UDR has outperformed the S&amp;P 500 (+9.5% vs. +3.8%) since last earnings but slightly lagged the residential REIT ETF (REZ +11.5%), suggesting the re-rating is sector-driven rather than UDR-specific alpha. </w:t>
      </w:r>
      <w:r>
        <w:rPr>
          <w:rFonts w:ascii="Calibri" w:hAnsi="Calibri"/>
          <w:color w:val="525866"/>
          <w:sz w:val="22"/>
        </w:rPr>
        <w:t>The stock’s move appears multiple-driven (valuation re-rating on improving apartment fundamentals) rather than estimate-driven, as FFOA consensus has moved only modestly higher.</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UDR vs. REZ (iShares Residential &amp; Multisector Real Estate ETF) vs. S&amp;P 500 (SPY) — Indexed to 100 at April 29, 2026 (last earnings date). Events marked: 25M share repurchase authorization (May 4), Nareit REITweek Conference (June 3), CEO open-market sale of 80K shares (June 5/8). Source: Stock Price Data.</w:t>
      </w:r>
    </w:p>
    <w:p>
      <w:r>
        <w:rPr>
          <w:rFonts w:ascii="Calibri" w:hAnsi="Calibri"/>
          <w:b/>
          <w:color w:val="525866"/>
          <w:sz w:val="22"/>
        </w:rPr>
        <w:t>Performance Summary (April 29 – July 24, 2026):</w:t>
      </w:r>
    </w:p>
    <w:p>
      <w:pPr>
        <w:pStyle w:val="ListBullet"/>
        <w:ind w:left="360" w:hanging="360"/>
      </w:pPr>
      <w:r>
        <w:rPr>
          <w:rFonts w:ascii="Calibri" w:hAnsi="Calibri"/>
          <w:b/>
          <w:color w:val="525866"/>
          <w:sz w:val="22"/>
        </w:rPr>
        <w:t xml:space="preserve">UDR: </w:t>
      </w:r>
      <w:r>
        <w:rPr>
          <w:rFonts w:ascii="Calibri" w:hAnsi="Calibri"/>
          <w:color w:val="525866"/>
          <w:sz w:val="22"/>
        </w:rPr>
        <w:t>$36.16 → $39.60, +9.5% total return since last earnings</w:t>
      </w:r>
    </w:p>
    <w:p>
      <w:pPr>
        <w:pStyle w:val="ListBullet"/>
        <w:ind w:left="360" w:hanging="360"/>
      </w:pPr>
      <w:r>
        <w:rPr>
          <w:rFonts w:ascii="Calibri" w:hAnsi="Calibri"/>
          <w:b/>
          <w:color w:val="525866"/>
          <w:sz w:val="22"/>
        </w:rPr>
        <w:t xml:space="preserve">REZ (iShares Residential &amp; Multisector Real Estate ETF): </w:t>
      </w:r>
      <w:r>
        <w:rPr>
          <w:rFonts w:ascii="Calibri" w:hAnsi="Calibri"/>
          <w:color w:val="525866"/>
          <w:sz w:val="22"/>
        </w:rPr>
        <w:t>$89.02 → $99.34, +11.6% — sector ETF used as residential REIT benchmark, appropriate for UDR’s multifamily sub-sector</w:t>
      </w:r>
    </w:p>
    <w:p>
      <w:pPr>
        <w:pStyle w:val="ListBullet"/>
        <w:ind w:left="360" w:hanging="360"/>
      </w:pPr>
      <w:r>
        <w:rPr>
          <w:rFonts w:ascii="Calibri" w:hAnsi="Calibri"/>
          <w:b/>
          <w:color w:val="525866"/>
          <w:sz w:val="22"/>
        </w:rPr>
        <w:t xml:space="preserve">S&amp;P 500 (SPY): </w:t>
      </w:r>
      <w:r>
        <w:rPr>
          <w:rFonts w:ascii="Calibri" w:hAnsi="Calibri"/>
          <w:color w:val="525866"/>
          <w:sz w:val="22"/>
        </w:rPr>
        <w:t>$711.58 → $738.97, +3.8%</w:t>
      </w:r>
    </w:p>
    <w:p>
      <w:pPr>
        <w:pStyle w:val="ListBullet"/>
        <w:ind w:left="360" w:hanging="360"/>
      </w:pPr>
      <w:r>
        <w:rPr>
          <w:rFonts w:ascii="Calibri" w:hAnsi="Calibri"/>
          <w:b/>
          <w:color w:val="525866"/>
          <w:sz w:val="22"/>
        </w:rPr>
        <w:t xml:space="preserve">Key observation: </w:t>
      </w:r>
      <w:r>
        <w:rPr>
          <w:rFonts w:ascii="Calibri" w:hAnsi="Calibri"/>
          <w:color w:val="525866"/>
          <w:sz w:val="22"/>
        </w:rPr>
        <w:t>UDR’s outperformance vs. SPY is substantial, but it has lagged REZ by ~2 pp, suggesting the stock has not yet fully re-rated to peer levels. The gap may reflect lingering Sunbelt exposure concerns and UDR’s discount to NAV, which could close if Q2 results confirm the coastal acceleration narrative.</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post-earnings development is the new 25M share repurchase authorization (May 4), which signals management’s conviction that UDR trades at a meaningful discount to NAV and provides a direct FFOA accretion lever. </w:t>
      </w:r>
      <w:r>
        <w:rPr>
          <w:rFonts w:ascii="Calibri" w:hAnsi="Calibri"/>
          <w:color w:val="525866"/>
          <w:sz w:val="22"/>
        </w:rPr>
        <w:t>The CEO’s open-market sale of 80K shares in June is the one offsetting signal worth monitoring.</w:t>
      </w:r>
    </w:p>
    <w:p>
      <w:pPr>
        <w:pStyle w:val="ListBullet"/>
        <w:ind w:left="360" w:hanging="360"/>
      </w:pPr>
      <w:r>
        <w:rPr>
          <w:rFonts w:ascii="Calibri" w:hAnsi="Calibri"/>
          <w:b/>
          <w:color w:val="525866"/>
          <w:sz w:val="22"/>
        </w:rPr>
        <w:t xml:space="preserve">May 4, 2026 — Board Authorizes New 25M Share Repurchase Program (8-K): </w:t>
      </w:r>
      <w:r>
        <w:rPr>
          <w:rFonts w:ascii="Calibri" w:hAnsi="Calibri"/>
          <w:color w:val="525866"/>
          <w:sz w:val="22"/>
        </w:rPr>
        <w:t xml:space="preserve">UDR’s Board authorized a new 25M share repurchase program, in addition to the 4.6M shares remaining under the January 2008 program. This is a significant expansion of buyback capacity and signals management’s view that the stock trades at a meaningful discount to NAV. The Q1 call noted that share repurchases funded by dispositions are a key driver of the ~2% sequential FFOA increase guided for Q2. </w:t>
      </w:r>
    </w:p>
    <w:p>
      <w:pPr>
        <w:pStyle w:val="ListBullet"/>
        <w:ind w:left="360" w:hanging="360"/>
      </w:pPr>
      <w:r>
        <w:rPr>
          <w:rFonts w:ascii="Calibri" w:hAnsi="Calibri"/>
          <w:b/>
          <w:color w:val="525866"/>
          <w:sz w:val="22"/>
        </w:rPr>
        <w:t xml:space="preserve">April 29–30, 2026 — Q1 2026 Earnings: In-Line Results, Guidance Maintained: </w:t>
      </w:r>
      <w:r>
        <w:rPr>
          <w:rFonts w:ascii="Calibri" w:hAnsi="Calibri"/>
          <w:color w:val="525866"/>
          <w:sz w:val="22"/>
        </w:rPr>
        <w:t>FFOA/share met guidance midpoint and consensus. SS revenue grew 0.9% YoY (in-line), SS NOI declined 0.8% YoY due to elevated winter storm expenses (~$1.4M incremental). Full-year 2026 guidance maintained unchanged. Blended lease rate growth of 1.6% was the highest in the peer group. Resident retention reached an all-time company high. Monthly dividend transition announced — UDR becomes the first residential REIT to pay monthly dividends, targeting high-net-worth and retail investors.</w:t>
      </w:r>
    </w:p>
    <w:p>
      <w:pPr>
        <w:pStyle w:val="ListBullet"/>
        <w:ind w:left="360" w:hanging="360"/>
      </w:pPr>
      <w:r>
        <w:rPr>
          <w:rFonts w:ascii="Calibri" w:hAnsi="Calibri"/>
          <w:b/>
          <w:color w:val="525866"/>
          <w:sz w:val="22"/>
        </w:rPr>
        <w:t xml:space="preserve">April 29–30, 2026 — Monthly Dividend Transition Announced: </w:t>
      </w:r>
      <w:r>
        <w:rPr>
          <w:rFonts w:ascii="Calibri" w:hAnsi="Calibri"/>
          <w:color w:val="525866"/>
          <w:sz w:val="22"/>
        </w:rPr>
        <w:t xml:space="preserve">UDR announced a transition to monthly dividends as part of a multi-year strategy to diversify its shareholder base toward high-net-worth investors, family offices, and retail investors. Management framed this as a long-term capital access strategy. </w:t>
      </w:r>
    </w:p>
    <w:p>
      <w:pPr>
        <w:pStyle w:val="ListBullet"/>
        <w:ind w:left="360" w:hanging="360"/>
      </w:pPr>
      <w:r>
        <w:rPr>
          <w:rFonts w:ascii="Calibri" w:hAnsi="Calibri"/>
          <w:b/>
          <w:color w:val="525866"/>
          <w:sz w:val="22"/>
        </w:rPr>
        <w:t xml:space="preserve">April 29–30, 2026 — Active Capital Recycling: </w:t>
      </w:r>
      <w:r>
        <w:rPr>
          <w:rFonts w:ascii="Calibri" w:hAnsi="Calibri"/>
          <w:color w:val="525866"/>
          <w:sz w:val="22"/>
        </w:rPr>
        <w:t>Q1 included four asset dispositions, two D&amp;PE repayments, share repurchases, and Portland acquisitions. Management is executing a net seller stance for 2026, recycling lower-growth assets at full private market valuations and redeploying into buybacks and Portland D&amp;PE investments.</w:t>
      </w:r>
    </w:p>
    <w:p>
      <w:pPr>
        <w:pStyle w:val="ListBullet"/>
        <w:ind w:left="360" w:hanging="360"/>
      </w:pPr>
      <w:r>
        <w:rPr>
          <w:rFonts w:ascii="Calibri" w:hAnsi="Calibri"/>
          <w:b/>
          <w:color w:val="525866"/>
          <w:sz w:val="22"/>
        </w:rPr>
        <w:t xml:space="preserve">June 3, 2026 — Nareit REITweek Investor Conference: </w:t>
      </w:r>
      <w:r>
        <w:rPr>
          <w:rFonts w:ascii="Calibri" w:hAnsi="Calibri"/>
          <w:color w:val="525866"/>
          <w:sz w:val="22"/>
        </w:rPr>
        <w:t>Peers ESS and MAA presented at Nareit REITweek. ESS reported blended lease rate growth accelerating to 3.7% in May (from 3.1% in April and 1.4% in Q1), and noted it is “trending ahead of guidance.” MAA reported blended lease rates up 140 bps in May from Q1, with new lease rates up 240 bps from Q1 — the highest blended pricing in almost two years. Both signals are positive read-throughs for UDR’s coastal and Sunbelt portfolios respectively.</w:t>
      </w:r>
    </w:p>
    <w:p>
      <w:pPr>
        <w:pStyle w:val="ListBullet"/>
        <w:ind w:left="360" w:hanging="360"/>
      </w:pPr>
      <w:r>
        <w:rPr>
          <w:rFonts w:ascii="Calibri" w:hAnsi="Calibri"/>
          <w:b/>
          <w:color w:val="525866"/>
          <w:sz w:val="22"/>
        </w:rPr>
        <w:t xml:space="preserve">June 5–8, 2026 — CEO Thomas Toomey Open-Market Sale of 80,000 Shares: </w:t>
      </w:r>
      <w:r>
        <w:rPr>
          <w:rFonts w:ascii="Calibri" w:hAnsi="Calibri"/>
          <w:color w:val="525866"/>
          <w:sz w:val="22"/>
        </w:rPr>
        <w:t>Chairman, President &amp; CEO Thomas Toomey sold 80,000 shares of common stock on June 5, 2026 (filed June 8) at market prices, reducing his direct holdings to 810,455 shares. The sale was not under a 10b5-1 plan (discretionary). While the size is notable, Toomey retains a substantial position. Worth monitoring but not necessarily a bearish signal given the stock’s strong run since earnings.</w:t>
      </w:r>
    </w:p>
    <w:p>
      <w:pPr>
        <w:pStyle w:val="ListBullet"/>
        <w:ind w:left="360" w:hanging="360"/>
      </w:pPr>
      <w:r>
        <w:rPr>
          <w:rFonts w:ascii="Calibri" w:hAnsi="Calibri"/>
          <w:b/>
          <w:color w:val="525866"/>
          <w:sz w:val="22"/>
        </w:rPr>
        <w:t xml:space="preserve">July 8, 2026 — Q2 2026 Earnings Date Announced: </w:t>
      </w:r>
      <w:r>
        <w:rPr>
          <w:rFonts w:ascii="Calibri" w:hAnsi="Calibri"/>
          <w:color w:val="525866"/>
          <w:sz w:val="22"/>
        </w:rPr>
        <w:t>UDR announced the dates for its Q2 2026 earnings release, webcast, and conference call via press release. Confirms the upcoming print is imminent.</w:t>
      </w:r>
    </w:p>
    <w:p>
      <w:pPr>
        <w:pStyle w:val="ListBullet"/>
        <w:ind w:left="360" w:hanging="360"/>
      </w:pPr>
      <w:r>
        <w:rPr>
          <w:rFonts w:ascii="Calibri" w:hAnsi="Calibri"/>
          <w:b/>
          <w:color w:val="525866"/>
          <w:sz w:val="22"/>
        </w:rPr>
        <w:t xml:space="preserve">Ongoing — Regulatory Risk (Rent Control): </w:t>
      </w:r>
      <w:r>
        <w:rPr>
          <w:rFonts w:ascii="Calibri" w:hAnsi="Calibri"/>
          <w:color w:val="525866"/>
          <w:sz w:val="22"/>
        </w:rPr>
        <w:t>UDR is actively opposing rent control measures in Boston, Salinas, New York City, and Washington D.C. The Boston ballot measure is the most material near-term risk given UDR’s Northeast exposure (19.7% of SS NOI). Management is engaged in opposition efforts.</w:t>
      </w:r>
    </w:p>
    <w:p>
      <w:pPr>
        <w:pStyle w:val="ListBullet"/>
        <w:ind w:left="360" w:hanging="360"/>
      </w:pPr>
      <w:r>
        <w:rPr>
          <w:rFonts w:ascii="Calibri" w:hAnsi="Calibri"/>
          <w:b/>
          <w:color w:val="525866"/>
          <w:sz w:val="22"/>
        </w:rPr>
        <w:t xml:space="preserve">Ongoing — Macro: AI-Driven Demand in Coastal Markets: </w:t>
      </w:r>
      <w:r>
        <w:rPr>
          <w:rFonts w:ascii="Calibri" w:hAnsi="Calibri"/>
          <w:color w:val="525866"/>
          <w:sz w:val="22"/>
        </w:rPr>
        <w:t>San Francisco continues to benefit from AI-driven demand — UDR reported ~10% blended lease rate growth in SF in Q1, with occupancy in the high 97% range. Peers ESS and EQR corroborate this trend, with ESS noting 250 AI-related startups contributing to Bay Area demand and EQR calling SF its “best-performing market.” This is a direct positive read-through for UDR’s West Coast portfolio.</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Q1 2026 earnings calls (April–May) and the Nareit REITweek conference (June 3) is uniformly constructive for Q2 — coastal markets (SF, NY) are accelerating sharply, Sunbelt supply is declining faster than expected, and blended lease rates are improving sequentially across the board. </w:t>
      </w:r>
      <w:r>
        <w:rPr>
          <w:rFonts w:ascii="Calibri" w:hAnsi="Calibri"/>
          <w:color w:val="525866"/>
          <w:sz w:val="22"/>
        </w:rPr>
        <w:t>The read-through for UDR is positive: UDR’s 75% coastal NOI exposure and leading blended lease rate growth in Q1 position it well to benefit from the trends peers are describing for Q2.</w:t>
      </w:r>
    </w:p>
    <w:p>
      <w:r>
        <w:rPr>
          <w:rFonts w:ascii="Calibri" w:hAnsi="Calibri"/>
          <w:b/>
          <w:color w:val="525866"/>
          <w:sz w:val="22"/>
        </w:rPr>
        <w:t xml:space="preserve">Note: </w:t>
      </w:r>
      <w:r>
        <w:rPr>
          <w:rFonts w:ascii="Calibri" w:hAnsi="Calibri"/>
          <w:i/>
          <w:color w:val="525866"/>
          <w:sz w:val="22"/>
        </w:rPr>
        <w:t>Only commentary about Q2 2026 outlook and current quarter trends is included below. Q1 2026 results commentary from peers is excluded. Sources are Q1 2026 earnings calls (April 29 – May 1, 2026) and Nareit REITweek conference (June 3, 2026).</w:t>
      </w:r>
    </w:p>
    <w:p>
      <w:pPr>
        <w:pStyle w:val="Heading3"/>
      </w:pPr>
      <w:r>
        <w:rPr>
          <w:rFonts w:ascii="Calibri" w:hAnsi="Calibri"/>
          <w:b/>
          <w:color w:val="3B4259"/>
          <w:sz w:val="24"/>
        </w:rPr>
        <w:t>Essex Property Trust (ESS) — Q1 2026 Earnings Call (April 29, 2026) &amp; Nareit REITweek (June 3, 2026)</w:t>
      </w:r>
    </w:p>
    <w:p>
      <w:r>
        <w:rPr>
          <w:rFonts w:ascii="Calibri" w:hAnsi="Calibri"/>
          <w:b/>
          <w:color w:val="525866"/>
          <w:sz w:val="22"/>
        </w:rPr>
        <w:t xml:space="preserve">UDR Read-Through: </w:t>
      </w:r>
      <w:r>
        <w:rPr>
          <w:rFonts w:ascii="Calibri" w:hAnsi="Calibri"/>
          <w:i/>
          <w:color w:val="525866"/>
          <w:sz w:val="22"/>
        </w:rPr>
        <w:t>Highly positive. ESS is UDR’s closest coastal peer (West Coast focus). ESS’s accelerating blended rates and “trending ahead of guidance” commentary directly validates UDR’s coastal thesis.</w:t>
      </w:r>
    </w:p>
    <w:p>
      <w:pPr>
        <w:pStyle w:val="ListBullet"/>
        <w:ind w:left="360" w:hanging="360"/>
      </w:pPr>
      <w:r>
        <w:rPr>
          <w:rFonts w:ascii="Calibri" w:hAnsi="Calibri"/>
          <w:b/>
          <w:color w:val="525866"/>
          <w:sz w:val="22"/>
        </w:rPr>
        <w:t xml:space="preserve">Q2 Blended Lease Rate Acceleration: </w:t>
      </w:r>
      <w:r>
        <w:rPr>
          <w:rFonts w:ascii="Calibri" w:hAnsi="Calibri"/>
          <w:color w:val="525866"/>
          <w:sz w:val="22"/>
        </w:rPr>
        <w:t>ESS reported blended lease rate growth of 1.4% in Q1, accelerating to 3.1% in April and 3.7% in May (Nareit REITweek, June 3). Management stated it is “definitely heading the right direction” and “seeing that momentum continuing.” ESS has shifted strategy to “pushing rents” in most markets as it enters peak leasing season.</w:t>
      </w:r>
    </w:p>
    <w:p>
      <w:pPr>
        <w:pStyle w:val="ListBullet"/>
        <w:ind w:left="360" w:hanging="360"/>
      </w:pPr>
      <w:r>
        <w:rPr>
          <w:rFonts w:ascii="Calibri" w:hAnsi="Calibri"/>
          <w:b/>
          <w:color w:val="525866"/>
          <w:sz w:val="22"/>
        </w:rPr>
        <w:t xml:space="preserve">Northern California (SF/Bay Area) — Standout Performance: </w:t>
      </w:r>
      <w:r>
        <w:rPr>
          <w:rFonts w:ascii="Calibri" w:hAnsi="Calibri"/>
          <w:color w:val="525866"/>
          <w:sz w:val="22"/>
        </w:rPr>
        <w:t>Northern California was ESS’s best market in Q1, with blended rent growth of 3.2%, accelerating to “north of 5%” in April. ESS noted 250 AI-related startups contributing to Bay Area demand, AI job postings up YTD vs. 2025, and net domestic in-migration turning positive for the first time in decades. Rent-to-income ratios at 21.5% vs. 20-year average of 26%, indicating “significant rent upside.” Oakland described as the “most underappreciated Essex market,” now tracking close to SF/South Bay performance.</w:t>
      </w:r>
    </w:p>
    <w:p>
      <w:pPr>
        <w:pStyle w:val="ListBullet"/>
        <w:ind w:left="360" w:hanging="360"/>
      </w:pPr>
      <w:r>
        <w:rPr>
          <w:rFonts w:ascii="Calibri" w:hAnsi="Calibri"/>
          <w:b/>
          <w:color w:val="525866"/>
          <w:sz w:val="22"/>
        </w:rPr>
        <w:t xml:space="preserve">Seattle — Turning Positive: </w:t>
      </w:r>
      <w:r>
        <w:rPr>
          <w:rFonts w:ascii="Calibri" w:hAnsi="Calibri"/>
          <w:color w:val="525866"/>
          <w:sz w:val="22"/>
        </w:rPr>
        <w:t>ESS reported Seattle lease rates turned positive in March and have improved every month since, “slightly ahead of expectations” as of June 3. Supply down ~25% this year and further lower next year. ESS noted Seattle is “starting to catch up to the Bay Area market on the renewal side.”</w:t>
      </w:r>
    </w:p>
    <w:p>
      <w:pPr>
        <w:pStyle w:val="ListBullet"/>
        <w:ind w:left="360" w:hanging="360"/>
      </w:pPr>
      <w:r>
        <w:rPr>
          <w:rFonts w:ascii="Calibri" w:hAnsi="Calibri"/>
          <w:b/>
          <w:color w:val="525866"/>
          <w:sz w:val="22"/>
        </w:rPr>
        <w:t xml:space="preserve">Southern California (L.A.) — Stable but Slow: </w:t>
      </w:r>
      <w:r>
        <w:rPr>
          <w:rFonts w:ascii="Calibri" w:hAnsi="Calibri"/>
          <w:color w:val="525866"/>
          <w:sz w:val="22"/>
        </w:rPr>
        <w:t>L.A. economic occupancy improved from 92.5% two years ago to 94.5% currently, “very close to a point where we’re going to actually have pricing power in L.A.” Supply has started to come down. ESS noted L.A. “feels stable” but no clear catalyst for a turn this year.</w:t>
      </w:r>
    </w:p>
    <w:p>
      <w:pPr>
        <w:pStyle w:val="ListBullet"/>
        <w:ind w:left="360" w:hanging="360"/>
      </w:pPr>
      <w:r>
        <w:rPr>
          <w:rFonts w:ascii="Calibri" w:hAnsi="Calibri"/>
          <w:b/>
          <w:color w:val="525866"/>
          <w:sz w:val="22"/>
        </w:rPr>
        <w:t xml:space="preserve">Full-Year Guidance: Trending Ahead, Awaiting Peak Season: </w:t>
      </w:r>
      <w:r>
        <w:rPr>
          <w:rFonts w:ascii="Calibri" w:hAnsi="Calibri"/>
          <w:color w:val="525866"/>
          <w:sz w:val="22"/>
        </w:rPr>
        <w:t>ESS reaffirmed full-year guidance at Q1 earnings, citing desire for “further visibility into peak leasing season” given macro uncertainty. At Nareit (June 3), ESS stated it is “trending ahead of our guidance” and will “revisit how we’re going to guide the Street” once Q2 numbers are finalized. Guidance assumes blended rents flat in H2 vs. H1, which ESS views as conservative given current momentum.</w:t>
      </w:r>
    </w:p>
    <w:p>
      <w:pPr>
        <w:pStyle w:val="ListBullet"/>
        <w:ind w:left="360" w:hanging="360"/>
      </w:pPr>
      <w:r>
        <w:rPr>
          <w:rFonts w:ascii="Calibri" w:hAnsi="Calibri"/>
          <w:b/>
          <w:color w:val="525866"/>
          <w:sz w:val="22"/>
        </w:rPr>
        <w:t xml:space="preserve">West Coast Capital Demand: </w:t>
      </w:r>
      <w:r>
        <w:rPr>
          <w:rFonts w:ascii="Calibri" w:hAnsi="Calibri"/>
          <w:color w:val="525866"/>
          <w:sz w:val="22"/>
        </w:rPr>
        <w:t>ESS noted “a significant uptick in terms of capital interest on the West Coast, partly driven by performance issues you’re seeing throughout the rest of the country.” Camden’s California portfolio sale (discussed at Nareit) saw assets trade around a 4.5% cap rate, confirming strong private market valuations for West Coast apartments — a positive read-through for UDR’s NAV.</w:t>
      </w:r>
    </w:p>
    <w:p>
      <w:pPr>
        <w:pStyle w:val="Heading3"/>
      </w:pPr>
      <w:r>
        <w:rPr>
          <w:rFonts w:ascii="Calibri" w:hAnsi="Calibri"/>
          <w:b/>
          <w:color w:val="3B4259"/>
          <w:sz w:val="24"/>
        </w:rPr>
        <w:t>Equity Residential (EQR) — Q1 2026 Earnings Call (April 29, 2026)</w:t>
      </w:r>
    </w:p>
    <w:p>
      <w:r>
        <w:rPr>
          <w:rFonts w:ascii="Calibri" w:hAnsi="Calibri"/>
          <w:b/>
          <w:color w:val="525866"/>
          <w:sz w:val="22"/>
        </w:rPr>
        <w:t xml:space="preserve">UDR Read-Through: </w:t>
      </w:r>
      <w:r>
        <w:rPr>
          <w:rFonts w:ascii="Calibri" w:hAnsi="Calibri"/>
          <w:i/>
          <w:color w:val="525866"/>
          <w:sz w:val="22"/>
        </w:rPr>
        <w:t>Positive. EQR is a direct coastal peer (SF, NY, Boston, D.C., Seattle). EQR’s commentary on SF and NY strength, sequential new lease improvement, and renewal momentum all read through positively to UDR’s coastal portfolio.</w:t>
      </w:r>
    </w:p>
    <w:p>
      <w:pPr>
        <w:pStyle w:val="ListBullet"/>
        <w:ind w:left="360" w:hanging="360"/>
      </w:pPr>
      <w:r>
        <w:rPr>
          <w:rFonts w:ascii="Calibri" w:hAnsi="Calibri"/>
          <w:b/>
          <w:color w:val="525866"/>
          <w:sz w:val="22"/>
        </w:rPr>
        <w:t xml:space="preserve">Q2 Leasing Setup — Solid Demand, Strong Occupancy: </w:t>
      </w:r>
      <w:r>
        <w:rPr>
          <w:rFonts w:ascii="Calibri" w:hAnsi="Calibri"/>
          <w:color w:val="525866"/>
          <w:sz w:val="22"/>
        </w:rPr>
        <w:t>EQR started Q2 with physical occupancy of 96.3% and net effective prices up “just over 4% since January 1, which is in line with normal trends.” Management expects “a sequential build in new lease change and strong, stable performance in terms of retention and achieved renewal rate increases” in Q2.</w:t>
      </w:r>
    </w:p>
    <w:p>
      <w:pPr>
        <w:pStyle w:val="ListBullet"/>
        <w:ind w:left="360" w:hanging="360"/>
      </w:pPr>
      <w:r>
        <w:rPr>
          <w:rFonts w:ascii="Calibri" w:hAnsi="Calibri"/>
          <w:b/>
          <w:color w:val="525866"/>
          <w:sz w:val="22"/>
        </w:rPr>
        <w:t xml:space="preserve">San Francisco — Best-Performing Market: </w:t>
      </w:r>
      <w:r>
        <w:rPr>
          <w:rFonts w:ascii="Calibri" w:hAnsi="Calibri"/>
          <w:color w:val="525866"/>
          <w:sz w:val="22"/>
        </w:rPr>
        <w:t>EQR called SF its “best-performing market.” AI growth is making SF “the place to be,” with strong office leasing activity and migration patterns showing more residents coming from out of state. Concession use in the downtown submarket (22% of SF NOI) is “virtually nonexistent.” SF will deliver “almost no new competitive supply in 2026.” Downtown rents recently moved above pre-COVID levels while nominal wages are up 30% since 2019.</w:t>
      </w:r>
    </w:p>
    <w:p>
      <w:pPr>
        <w:pStyle w:val="ListBullet"/>
        <w:ind w:left="360" w:hanging="360"/>
      </w:pPr>
      <w:r>
        <w:rPr>
          <w:rFonts w:ascii="Calibri" w:hAnsi="Calibri"/>
          <w:b/>
          <w:color w:val="525866"/>
          <w:sz w:val="22"/>
        </w:rPr>
        <w:t xml:space="preserve">New York — Excellent Performance: </w:t>
      </w:r>
      <w:r>
        <w:rPr>
          <w:rFonts w:ascii="Calibri" w:hAnsi="Calibri"/>
          <w:color w:val="525866"/>
          <w:sz w:val="22"/>
        </w:rPr>
        <w:t>EQR reported NY “continues to post excellent performance with demand outpacing supply and almost no new competitive deliveries coming online in 2026.” Large financial institutions producing record profits, employment very stable. “Sets us up for another year of strong results.”</w:t>
      </w:r>
    </w:p>
    <w:p>
      <w:pPr>
        <w:pStyle w:val="ListBullet"/>
        <w:ind w:left="360" w:hanging="360"/>
      </w:pPr>
      <w:r>
        <w:rPr>
          <w:rFonts w:ascii="Calibri" w:hAnsi="Calibri"/>
          <w:b/>
          <w:color w:val="525866"/>
          <w:sz w:val="22"/>
        </w:rPr>
        <w:t xml:space="preserve">Renewal Rates — High Confidence in ~5% Range: </w:t>
      </w:r>
      <w:r>
        <w:rPr>
          <w:rFonts w:ascii="Calibri" w:hAnsi="Calibri"/>
          <w:color w:val="525866"/>
          <w:sz w:val="22"/>
        </w:rPr>
        <w:t>EQR’s renewal quotes for the next three months are “just over 6%,” with “pretty high degree of confidence” in achieving ~5% renewal rate increases in coming months. This is consistent with UDR’s 5–5.5% renewal offers through July.</w:t>
      </w:r>
    </w:p>
    <w:p>
      <w:pPr>
        <w:pStyle w:val="ListBullet"/>
        <w:ind w:left="360" w:hanging="360"/>
      </w:pPr>
      <w:r>
        <w:rPr>
          <w:rFonts w:ascii="Calibri" w:hAnsi="Calibri"/>
          <w:b/>
          <w:color w:val="525866"/>
          <w:sz w:val="22"/>
        </w:rPr>
        <w:t xml:space="preserve">Sunbelt (Atlanta, Dallas) — Improving: </w:t>
      </w:r>
      <w:r>
        <w:rPr>
          <w:rFonts w:ascii="Calibri" w:hAnsi="Calibri"/>
          <w:color w:val="525866"/>
          <w:sz w:val="22"/>
        </w:rPr>
        <w:t>EQR noted Atlanta and Dallas are “seeing improving conditions” with concession use coming down. Atlanta “should deliver slightly positive same-store revenue growth for the year, which is better than what we thought 90 days ago.” Dallas “feels pretty good.”</w:t>
      </w:r>
    </w:p>
    <w:p>
      <w:pPr>
        <w:pStyle w:val="ListBullet"/>
        <w:ind w:left="360" w:hanging="360"/>
      </w:pPr>
      <w:r>
        <w:rPr>
          <w:rFonts w:ascii="Calibri" w:hAnsi="Calibri"/>
          <w:b/>
          <w:color w:val="525866"/>
          <w:sz w:val="22"/>
        </w:rPr>
        <w:t xml:space="preserve">Supply Decline — Unprecedented: </w:t>
      </w:r>
      <w:r>
        <w:rPr>
          <w:rFonts w:ascii="Calibri" w:hAnsi="Calibri"/>
          <w:color w:val="525866"/>
          <w:sz w:val="22"/>
        </w:rPr>
        <w:t>EQR expects deliveries in its markets to be down 35% in 2026 vs. 2025. Management described heading into “unprecedented times with such low levels of new supply” and noted the back half of 2026 is “well positioned” if current velocity is maintained through peak leasing season.</w:t>
      </w:r>
    </w:p>
    <w:p>
      <w:pPr>
        <w:pStyle w:val="ListBullet"/>
        <w:ind w:left="360" w:hanging="360"/>
      </w:pPr>
      <w:r>
        <w:rPr>
          <w:rFonts w:ascii="Calibri" w:hAnsi="Calibri"/>
          <w:b/>
          <w:color w:val="525866"/>
          <w:sz w:val="22"/>
        </w:rPr>
        <w:t xml:space="preserve">Customer Financial Health: </w:t>
      </w:r>
      <w:r>
        <w:rPr>
          <w:rFonts w:ascii="Calibri" w:hAnsi="Calibri"/>
          <w:color w:val="525866"/>
          <w:sz w:val="22"/>
        </w:rPr>
        <w:t>Household incomes for new move-ins have increased, rent-to-income ratios fallen to 19% (within historical 17–23% range), and delinquency is lower across the portfolio. Single-family for-sale market remains challenging, leading customers to rent longer — driving record low turnover and strong renewal rates.</w:t>
      </w:r>
    </w:p>
    <w:p>
      <w:pPr>
        <w:pStyle w:val="Heading3"/>
      </w:pPr>
      <w:r>
        <w:rPr>
          <w:rFonts w:ascii="Calibri" w:hAnsi="Calibri"/>
          <w:b/>
          <w:color w:val="3B4259"/>
          <w:sz w:val="24"/>
        </w:rPr>
        <w:t>Mid-America Apartment Communities (MAA) — Q1 2026 Earnings Call (April 30, 2026) &amp; Nareit REITweek (June 3, 2026)</w:t>
      </w:r>
    </w:p>
    <w:p>
      <w:r>
        <w:rPr>
          <w:rFonts w:ascii="Calibri" w:hAnsi="Calibri"/>
          <w:b/>
          <w:color w:val="525866"/>
          <w:sz w:val="22"/>
        </w:rPr>
        <w:t xml:space="preserve">UDR Read-Through: </w:t>
      </w:r>
      <w:r>
        <w:rPr>
          <w:rFonts w:ascii="Calibri" w:hAnsi="Calibri"/>
          <w:i/>
          <w:color w:val="525866"/>
          <w:sz w:val="22"/>
        </w:rPr>
        <w:t>Moderately positive. MAA is a Sunbelt-focused peer. Its commentary on improving new lease rates, supply decline, and Dallas/Atlanta momentum is a positive read-through for UDR’s Sunbelt markets (Southeast and Southwest, ~24% of SS NOI). The Nareit update showing May blended rates at a near-2-year high is particularly encouraging.</w:t>
      </w:r>
    </w:p>
    <w:p>
      <w:pPr>
        <w:pStyle w:val="ListBullet"/>
        <w:ind w:left="360" w:hanging="360"/>
      </w:pPr>
      <w:r>
        <w:rPr>
          <w:rFonts w:ascii="Calibri" w:hAnsi="Calibri"/>
          <w:b/>
          <w:color w:val="525866"/>
          <w:sz w:val="22"/>
        </w:rPr>
        <w:t xml:space="preserve">Q2 Blended Lease Rate Improvement — Highest in Nearly 2 Years: </w:t>
      </w:r>
      <w:r>
        <w:rPr>
          <w:rFonts w:ascii="Calibri" w:hAnsi="Calibri"/>
          <w:color w:val="525866"/>
          <w:sz w:val="22"/>
        </w:rPr>
        <w:t>At Nareit REITweek (June 3), MAA reported blended lease-over-lease rates up 140 bps in May from Q1, with new lease rates up 240 bps from Q1. “The average blended lease pricing in May is the highest that we’ve seen in almost 2 years.” MAA is “pushing on rents” and “continue to see traction in getting those improving rents.”</w:t>
      </w:r>
    </w:p>
    <w:p>
      <w:pPr>
        <w:pStyle w:val="ListBullet"/>
        <w:ind w:left="360" w:hanging="360"/>
      </w:pPr>
      <w:r>
        <w:rPr>
          <w:rFonts w:ascii="Calibri" w:hAnsi="Calibri"/>
          <w:b/>
          <w:color w:val="525866"/>
          <w:sz w:val="22"/>
        </w:rPr>
        <w:t xml:space="preserve">New Lease Rate Acceleration: </w:t>
      </w:r>
      <w:r>
        <w:rPr>
          <w:rFonts w:ascii="Calibri" w:hAnsi="Calibri"/>
          <w:color w:val="525866"/>
          <w:sz w:val="22"/>
        </w:rPr>
        <w:t>MAA expects new lease pricing to “continue to accelerate through to about July and then start to moderate seasonally, but we expect that seasonal moderation to be less so in the back part of the year than it typically is as we continue to see the supply impact moderate.” May expected to outperform May of last year, with momentum continuing beyond May.</w:t>
      </w:r>
    </w:p>
    <w:p>
      <w:pPr>
        <w:pStyle w:val="ListBullet"/>
        <w:ind w:left="360" w:hanging="360"/>
      </w:pPr>
      <w:r>
        <w:rPr>
          <w:rFonts w:ascii="Calibri" w:hAnsi="Calibri"/>
          <w:b/>
          <w:color w:val="525866"/>
          <w:sz w:val="22"/>
        </w:rPr>
        <w:t xml:space="preserve">Dallas — Strong Momentum: </w:t>
      </w:r>
      <w:r>
        <w:rPr>
          <w:rFonts w:ascii="Calibri" w:hAnsi="Calibri"/>
          <w:color w:val="525866"/>
          <w:sz w:val="22"/>
        </w:rPr>
        <w:t>Dallas saw ~240 bps improvement in blended pricing from Q1 2025 to Q1 2026 and is expected to be “one of our stronger performing markets this year.” Concessions coming down in urban areas. This is a direct positive read-through for UDR’s Dallas exposure.</w:t>
      </w:r>
    </w:p>
    <w:p>
      <w:pPr>
        <w:pStyle w:val="ListBullet"/>
        <w:ind w:left="360" w:hanging="360"/>
      </w:pPr>
      <w:r>
        <w:rPr>
          <w:rFonts w:ascii="Calibri" w:hAnsi="Calibri"/>
          <w:b/>
          <w:color w:val="525866"/>
          <w:sz w:val="22"/>
        </w:rPr>
        <w:t xml:space="preserve">Atlanta — Improving: </w:t>
      </w:r>
      <w:r>
        <w:rPr>
          <w:rFonts w:ascii="Calibri" w:hAnsi="Calibri"/>
          <w:color w:val="525866"/>
          <w:sz w:val="22"/>
        </w:rPr>
        <w:t>Atlanta saw ~50 bps increase in blended pricing and 20 bps increase in occupancy YoY. Intown/Midtown/Buckhead submarkets outperforming suburbs.</w:t>
      </w:r>
    </w:p>
    <w:p>
      <w:pPr>
        <w:pStyle w:val="ListBullet"/>
        <w:ind w:left="360" w:hanging="360"/>
      </w:pPr>
      <w:r>
        <w:rPr>
          <w:rFonts w:ascii="Calibri" w:hAnsi="Calibri"/>
          <w:b/>
          <w:color w:val="525866"/>
          <w:sz w:val="22"/>
        </w:rPr>
        <w:t xml:space="preserve">Supply Decline — 40% Below Last Year: </w:t>
      </w:r>
      <w:r>
        <w:rPr>
          <w:rFonts w:ascii="Calibri" w:hAnsi="Calibri"/>
          <w:color w:val="525866"/>
          <w:sz w:val="22"/>
        </w:rPr>
        <w:t>MAA reported supply in its markets is “down about 40% from last year, and it’s down 60% from 2 years ago.” New starts remain below long-term averages for the past 3 years. Trailing 12-month starts at ~2% of inventory, providing a “pretty compelling” runway for the next few years.</w:t>
      </w:r>
    </w:p>
    <w:p>
      <w:pPr>
        <w:pStyle w:val="ListBullet"/>
        <w:ind w:left="360" w:hanging="360"/>
      </w:pPr>
      <w:r>
        <w:rPr>
          <w:rFonts w:ascii="Calibri" w:hAnsi="Calibri"/>
          <w:b/>
          <w:color w:val="525866"/>
          <w:sz w:val="22"/>
        </w:rPr>
        <w:t xml:space="preserve">Job Relocations Accelerating: </w:t>
      </w:r>
      <w:r>
        <w:rPr>
          <w:rFonts w:ascii="Calibri" w:hAnsi="Calibri"/>
          <w:color w:val="525866"/>
          <w:sz w:val="22"/>
        </w:rPr>
        <w:t>MAA noted a “pickup in job relocations coming to our markets, particularly over the last 3 to 4 months” — citing Starbucks moving 2,000 jobs to Nashville, Goldman Sachs to Dallas, JPMorgan to Charlotte. Demand dynamics “2x what you see in other regions of the country.”</w:t>
      </w:r>
    </w:p>
    <w:p>
      <w:pPr>
        <w:pStyle w:val="ListBullet"/>
        <w:ind w:left="360" w:hanging="360"/>
      </w:pPr>
      <w:r>
        <w:rPr>
          <w:rFonts w:ascii="Calibri" w:hAnsi="Calibri"/>
          <w:b/>
          <w:color w:val="525866"/>
          <w:sz w:val="22"/>
        </w:rPr>
        <w:t xml:space="preserve">South Austin — Green Shoots: </w:t>
      </w:r>
      <w:r>
        <w:rPr>
          <w:rFonts w:ascii="Calibri" w:hAnsi="Calibri"/>
          <w:color w:val="525866"/>
          <w:sz w:val="22"/>
        </w:rPr>
        <w:t>MAA noted improving concession fundamentals in South Austin, with a “10 percentage increase in terms of the new lease rates.” Northern Austin/Georgetown still under pressure.</w:t>
      </w:r>
    </w:p>
    <w:p>
      <w:pPr>
        <w:pStyle w:val="Heading3"/>
      </w:pPr>
      <w:r>
        <w:rPr>
          <w:rFonts w:ascii="Calibri" w:hAnsi="Calibri"/>
          <w:b/>
          <w:color w:val="3B4259"/>
          <w:sz w:val="24"/>
        </w:rPr>
        <w:t>Camden Property Trust (CPT) — Q1 2026 Earnings Call (May 1, 2026)</w:t>
      </w:r>
    </w:p>
    <w:p>
      <w:r>
        <w:rPr>
          <w:rFonts w:ascii="Calibri" w:hAnsi="Calibri"/>
          <w:b/>
          <w:color w:val="525866"/>
          <w:sz w:val="22"/>
        </w:rPr>
        <w:t xml:space="preserve">UDR Read-Through: </w:t>
      </w:r>
      <w:r>
        <w:rPr>
          <w:rFonts w:ascii="Calibri" w:hAnsi="Calibri"/>
          <w:i/>
          <w:color w:val="525866"/>
          <w:sz w:val="22"/>
        </w:rPr>
        <w:t>Moderately positive. CPT is a Sunbelt-focused peer. Its commentary on supply declining 50% from peak, Q1 net absorption being the best since 2016, and “green shoots” in Atlanta/Dallas/Nashville/Orlando is a positive read-through for UDR’s Sunbelt exposure. CPT’s “hockey stick” recovery thesis for H2 2026 is relevant context.</w:t>
      </w:r>
    </w:p>
    <w:p>
      <w:pPr>
        <w:pStyle w:val="ListBullet"/>
        <w:ind w:left="360" w:hanging="360"/>
      </w:pPr>
      <w:r>
        <w:rPr>
          <w:rFonts w:ascii="Calibri" w:hAnsi="Calibri"/>
          <w:b/>
          <w:color w:val="525866"/>
          <w:sz w:val="22"/>
        </w:rPr>
        <w:t xml:space="preserve">April Blended Rates Up ~100 bps vs. Q1: </w:t>
      </w:r>
      <w:r>
        <w:rPr>
          <w:rFonts w:ascii="Calibri" w:hAnsi="Calibri"/>
          <w:color w:val="525866"/>
          <w:sz w:val="22"/>
        </w:rPr>
        <w:t>CPT reported preliminary April results “on track” with blended rates up approximately 100 bps vs. Q1. Renewal offers for May, June, and July sent out in the “mid-3% range.” Management “feeling pretty good about how April is shaking out.”</w:t>
      </w:r>
    </w:p>
    <w:p>
      <w:pPr>
        <w:pStyle w:val="ListBullet"/>
        <w:ind w:left="360" w:hanging="360"/>
      </w:pPr>
      <w:r>
        <w:rPr>
          <w:rFonts w:ascii="Calibri" w:hAnsi="Calibri"/>
          <w:b/>
          <w:color w:val="525866"/>
          <w:sz w:val="22"/>
        </w:rPr>
        <w:t xml:space="preserve">Occupancy Improving: </w:t>
      </w:r>
      <w:r>
        <w:rPr>
          <w:rFonts w:ascii="Calibri" w:hAnsi="Calibri"/>
          <w:color w:val="525866"/>
          <w:sz w:val="22"/>
        </w:rPr>
        <w:t>April occupancy at ~95.4%, up from 95.1% in Q1 — “a pretty considerable increase.” Turnover at 30% annualized, one of the lowest in company history.</w:t>
      </w:r>
    </w:p>
    <w:p>
      <w:pPr>
        <w:pStyle w:val="ListBullet"/>
        <w:ind w:left="360" w:hanging="360"/>
      </w:pPr>
      <w:r>
        <w:rPr>
          <w:rFonts w:ascii="Calibri" w:hAnsi="Calibri"/>
          <w:b/>
          <w:color w:val="525866"/>
          <w:sz w:val="22"/>
        </w:rPr>
        <w:t xml:space="preserve">Supply Down 50% from Peak: </w:t>
      </w:r>
      <w:r>
        <w:rPr>
          <w:rFonts w:ascii="Calibri" w:hAnsi="Calibri"/>
          <w:color w:val="525866"/>
          <w:sz w:val="22"/>
        </w:rPr>
        <w:t>CPT reported new supply “has been cut in half in most of our markets.” Cadence: 200K completions in 2025, dropping to ~140–150K in 2026, then 135K in 2027, 120K in 2028. “Very hard to change the trajectory of that completion number.”</w:t>
      </w:r>
    </w:p>
    <w:p>
      <w:pPr>
        <w:pStyle w:val="ListBullet"/>
        <w:ind w:left="360" w:hanging="360"/>
      </w:pPr>
      <w:r>
        <w:rPr>
          <w:rFonts w:ascii="Calibri" w:hAnsi="Calibri"/>
          <w:b/>
          <w:color w:val="525866"/>
          <w:sz w:val="22"/>
        </w:rPr>
        <w:t xml:space="preserve">Q1 Net Absorption Best Since 2016: </w:t>
      </w:r>
      <w:r>
        <w:rPr>
          <w:rFonts w:ascii="Calibri" w:hAnsi="Calibri"/>
          <w:color w:val="525866"/>
          <w:sz w:val="22"/>
        </w:rPr>
        <w:t>CPT noted Q1 apartment net absorption was “one of the best since 2016 despite slow job growth and tepid consumer sentiment.” Demand in CPT’s markets is “incredibly strong” — “This is entirely a supply story.”</w:t>
      </w:r>
    </w:p>
    <w:p>
      <w:pPr>
        <w:pStyle w:val="ListBullet"/>
        <w:ind w:left="360" w:hanging="360"/>
      </w:pPr>
      <w:r>
        <w:rPr>
          <w:rFonts w:ascii="Calibri" w:hAnsi="Calibri"/>
          <w:b/>
          <w:color w:val="525866"/>
          <w:sz w:val="22"/>
        </w:rPr>
        <w:t xml:space="preserve">Green Shoots in Key Markets: </w:t>
      </w:r>
      <w:r>
        <w:rPr>
          <w:rFonts w:ascii="Calibri" w:hAnsi="Calibri"/>
          <w:color w:val="525866"/>
          <w:sz w:val="22"/>
        </w:rPr>
        <w:t>CPT cited “green shoots” in Atlanta, Dallas, Orlando, Nashville, Raleigh, and Southeast Florida, which are expected to “lead the return to normalcy as excess supply is absorbed.” Anticipates a “hockey stick in the latter part of 2026” as supply is absorbed, followed by “steady but strong growth” in 2027.</w:t>
      </w:r>
    </w:p>
    <w:p>
      <w:pPr>
        <w:pStyle w:val="ListBullet"/>
        <w:ind w:left="360" w:hanging="360"/>
      </w:pPr>
      <w:r>
        <w:rPr>
          <w:rFonts w:ascii="Calibri" w:hAnsi="Calibri"/>
          <w:b/>
          <w:color w:val="525866"/>
          <w:sz w:val="22"/>
        </w:rPr>
        <w:t xml:space="preserve">Concessions Coming Down: </w:t>
      </w:r>
      <w:r>
        <w:rPr>
          <w:rFonts w:ascii="Calibri" w:hAnsi="Calibri"/>
          <w:color w:val="525866"/>
          <w:sz w:val="22"/>
        </w:rPr>
        <w:t>CPT noted concessions are coming down “fairly meaningful in most of our markets,” attributed to new supply being down 50% from peak. Concessions are “starting to get into check.”</w:t>
      </w:r>
    </w:p>
    <w:p>
      <w:pPr>
        <w:pStyle w:val="ListBullet"/>
        <w:ind w:left="360" w:hanging="360"/>
      </w:pPr>
      <w:r>
        <w:rPr>
          <w:rFonts w:ascii="Calibri" w:hAnsi="Calibri"/>
          <w:b/>
          <w:color w:val="525866"/>
          <w:sz w:val="22"/>
        </w:rPr>
        <w:t xml:space="preserve">Sunbelt Demand Fundamentals: </w:t>
      </w:r>
      <w:r>
        <w:rPr>
          <w:rFonts w:ascii="Calibri" w:hAnsi="Calibri"/>
          <w:color w:val="525866"/>
          <w:sz w:val="22"/>
        </w:rPr>
        <w:t>Dallas led the nation in absolute job growth for the 12 months ended January 2026. Houston led the nation in population growth last year (+127K residents). Domestic migration to the Sunbelt is “reaccelerating in 2026 vs. 2025” with sequential annual increases over 10% in Austin, Dallas, Houston, Orlando, Phoenix, and Tampa.</w:t>
      </w:r>
    </w:p>
    <w:p>
      <w:pPr>
        <w:pStyle w:val="Heading3"/>
      </w:pPr>
      <w:r>
        <w:rPr>
          <w:rFonts w:ascii="Calibri" w:hAnsi="Calibri"/>
          <w:b/>
          <w:color w:val="3B4259"/>
          <w:sz w:val="24"/>
        </w:rPr>
        <w:t>Independence Realty Trust (IRT) — Q1 2026 Earnings Call (April 30, 2026)</w:t>
      </w:r>
    </w:p>
    <w:p>
      <w:r>
        <w:rPr>
          <w:rFonts w:ascii="Calibri" w:hAnsi="Calibri"/>
          <w:b/>
          <w:color w:val="525866"/>
          <w:sz w:val="22"/>
        </w:rPr>
        <w:t xml:space="preserve">UDR Read-Through: </w:t>
      </w:r>
      <w:r>
        <w:rPr>
          <w:rFonts w:ascii="Calibri" w:hAnsi="Calibri"/>
          <w:i/>
          <w:color w:val="525866"/>
          <w:sz w:val="22"/>
        </w:rPr>
        <w:t>Modestly positive. IRT is a Sunbelt/Midwest-focused peer. Its commentary on asking rents up 2.8% YTD across all markets, new lease trade-outs moving toward breakeven, and renewal rates tracking ahead of plan at ~4% for April/May is a positive read-through for UDR’s Sunbelt markets.</w:t>
      </w:r>
    </w:p>
    <w:p>
      <w:pPr>
        <w:pStyle w:val="ListBullet"/>
        <w:ind w:left="360" w:hanging="360"/>
      </w:pPr>
      <w:r>
        <w:rPr>
          <w:rFonts w:ascii="Calibri" w:hAnsi="Calibri"/>
          <w:b/>
          <w:color w:val="525866"/>
          <w:sz w:val="22"/>
        </w:rPr>
        <w:t xml:space="preserve">Asking Rents Up 2.8% YTD — Every Market Positive: </w:t>
      </w:r>
      <w:r>
        <w:rPr>
          <w:rFonts w:ascii="Calibri" w:hAnsi="Calibri"/>
          <w:color w:val="525866"/>
          <w:sz w:val="22"/>
        </w:rPr>
        <w:t>IRT reported asking rents in its markets have increased an average of 2.8% YTD, with every market experiencing an increase since January 1. This is “a little bit ahead of what we would say is a normal growth in the beginning part of the year.”</w:t>
      </w:r>
    </w:p>
    <w:p>
      <w:pPr>
        <w:pStyle w:val="ListBullet"/>
        <w:ind w:left="360" w:hanging="360"/>
      </w:pPr>
      <w:r>
        <w:rPr>
          <w:rFonts w:ascii="Calibri" w:hAnsi="Calibri"/>
          <w:b/>
          <w:color w:val="525866"/>
          <w:sz w:val="22"/>
        </w:rPr>
        <w:t xml:space="preserve">New Lease Trade-Outs Moving to Breakeven: </w:t>
      </w:r>
      <w:r>
        <w:rPr>
          <w:rFonts w:ascii="Calibri" w:hAnsi="Calibri"/>
          <w:color w:val="525866"/>
          <w:sz w:val="22"/>
        </w:rPr>
        <w:t>IRT expects new lease trade-outs to reach breakeven this leasing season as concessions normalize and market rents grow. April/May new lease pricing improving ~130 bps vs. Q1. Expiring rents for May, June, and July are all lower than current asking rents, “meaning we are clearly moving in the positive territory.”</w:t>
      </w:r>
    </w:p>
    <w:p>
      <w:pPr>
        <w:pStyle w:val="ListBullet"/>
        <w:ind w:left="360" w:hanging="360"/>
      </w:pPr>
      <w:r>
        <w:rPr>
          <w:rFonts w:ascii="Calibri" w:hAnsi="Calibri"/>
          <w:b/>
          <w:color w:val="525866"/>
          <w:sz w:val="22"/>
        </w:rPr>
        <w:t xml:space="preserve">Renewal Rates Ahead of Plan: </w:t>
      </w:r>
      <w:r>
        <w:rPr>
          <w:rFonts w:ascii="Calibri" w:hAnsi="Calibri"/>
          <w:color w:val="525866"/>
          <w:sz w:val="22"/>
        </w:rPr>
        <w:t>April/May renewal trade-outs tracking “modestly ahead of plan at approximately 4%,” with June and July expected to be “a little bit ahead of that 4%.” Renewal growth in H2 expected to be “sizably better” than H1.</w:t>
      </w:r>
    </w:p>
    <w:p>
      <w:pPr>
        <w:pStyle w:val="ListBullet"/>
        <w:ind w:left="360" w:hanging="360"/>
      </w:pPr>
      <w:r>
        <w:rPr>
          <w:rFonts w:ascii="Calibri" w:hAnsi="Calibri"/>
          <w:b/>
          <w:color w:val="525866"/>
          <w:sz w:val="22"/>
        </w:rPr>
        <w:t xml:space="preserve">Raleigh, Indianapolis, Oklahoma City, Columbus, Nashville — Strongest Markets: </w:t>
      </w:r>
      <w:r>
        <w:rPr>
          <w:rFonts w:ascii="Calibri" w:hAnsi="Calibri"/>
          <w:color w:val="525866"/>
          <w:sz w:val="22"/>
        </w:rPr>
        <w:t>Raleigh asking rents up 5.7% YTD, Indianapolis +5.2%, Oklahoma City +4.8%, Columbus +4.6%, Nashville +4.5%. Atlanta blended rent growth ~1.5% in Q1, double Q4 2025. Dallas asking rents up 2.1% YTD.</w:t>
      </w:r>
    </w:p>
    <w:p>
      <w:pPr>
        <w:pStyle w:val="ListBullet"/>
        <w:ind w:left="360" w:hanging="360"/>
      </w:pPr>
      <w:r>
        <w:rPr>
          <w:rFonts w:ascii="Calibri" w:hAnsi="Calibri"/>
          <w:b/>
          <w:color w:val="525866"/>
          <w:sz w:val="22"/>
        </w:rPr>
        <w:t xml:space="preserve">Supply-Demand Equation Flipping: </w:t>
      </w:r>
      <w:r>
        <w:rPr>
          <w:rFonts w:ascii="Calibri" w:hAnsi="Calibri"/>
          <w:color w:val="525866"/>
          <w:sz w:val="22"/>
        </w:rPr>
        <w:t>IRT noted new deliveries in its markets are “trending well below the long-term average” and the “supply-demand equation [is] flipping better for landlords.” Early Q2 trends are “directionally encouraging as leasing activity accelerates in the peak leasing season.”</w:t>
      </w:r>
    </w:p>
    <w:p>
      <w:pPr>
        <w:pStyle w:val="ListBullet"/>
        <w:ind w:left="360" w:hanging="360"/>
      </w:pPr>
      <w:r>
        <w:rPr>
          <w:rFonts w:ascii="Calibri" w:hAnsi="Calibri"/>
          <w:b/>
          <w:color w:val="525866"/>
          <w:sz w:val="22"/>
        </w:rPr>
        <w:t xml:space="preserve">WiFi Program Upside: </w:t>
      </w:r>
      <w:r>
        <w:rPr>
          <w:rFonts w:ascii="Calibri" w:hAnsi="Calibri"/>
          <w:color w:val="525866"/>
          <w:sz w:val="22"/>
        </w:rPr>
        <w:t>IRT’s property WiFi program (19,000 units, all operational by July 1) is ahead of schedule and could provide upside to other income guidance. Relevant as UDR also pursues innovation income growth through similar amenity programs.</w:t>
      </w:r>
    </w:p>
    <w:p>
      <w:r>
        <w:rPr>
          <w:rFonts w:ascii="Calibri" w:hAnsi="Calibri"/>
          <w:i/>
          <w:color w:val="525866"/>
          <w:sz w:val="22"/>
        </w:rPr>
        <w:t>Sources: ESS Q1 2026 Earnings Call (April 29, 2026); ESS Nareit REITweek Conference (June 3, 2026); EQR Q1 2026 Earnings Call (April 29, 2026); MAA Q1 2026 Earnings Call (April 30, 2026); MAA Nareit REITweek Conference (June 3, 2026); CPT Q1 2026 Earnings Call (May 1, 2026); IRT Q1 2026 Earnings Call (April 30,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insider transaction since last earnings is a discretionary open-market sale of 80,000 shares by CEO Thomas Toomey on June 5, 2026 — notable in size but not under a 10b5-1 plan. </w:t>
      </w:r>
      <w:r>
        <w:rPr>
          <w:rFonts w:ascii="Calibri" w:hAnsi="Calibri"/>
          <w:color w:val="525866"/>
          <w:sz w:val="22"/>
        </w:rPr>
        <w:t>Toomey retains 810,455 shares, so this represents a ~9% reduction in his direct holdings. The sale occurred after a ~9% stock run-up since earnings, which may explain the timing. No insider buying has been reported.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Shares Owned After</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Thomas W. Toomey</w:t>
            </w:r>
          </w:p>
        </w:tc>
        <w:tc>
          <w:tcPr>
            <w:tcW w:type="dxa" w:w="1080"/>
          </w:tcPr>
          <w:p>
            <w:r>
              <w:rPr>
                <w:rFonts w:ascii="Calibri" w:hAnsi="Calibri"/>
                <w:sz w:val="22"/>
              </w:rPr>
              <w:t>Chairman, President &amp; CEO</w:t>
            </w:r>
          </w:p>
        </w:tc>
        <w:tc>
          <w:tcPr>
            <w:tcW w:type="dxa" w:w="1080"/>
          </w:tcPr>
          <w:p>
            <w:r>
              <w:rPr>
                <w:rFonts w:ascii="Calibri" w:hAnsi="Calibri"/>
                <w:sz w:val="22"/>
              </w:rPr>
              <w:t>Open Market Sale</w:t>
            </w:r>
          </w:p>
        </w:tc>
        <w:tc>
          <w:tcPr>
            <w:tcW w:type="dxa" w:w="1080"/>
          </w:tcPr>
          <w:p>
            <w:r>
              <w:rPr>
                <w:rFonts w:ascii="Calibri" w:hAnsi="Calibri"/>
                <w:sz w:val="22"/>
              </w:rPr>
              <w:t>80,000</w:t>
            </w:r>
          </w:p>
        </w:tc>
        <w:tc>
          <w:tcPr>
            <w:tcW w:type="dxa" w:w="1080"/>
          </w:tcPr>
          <w:p>
            <w:r>
              <w:rPr>
                <w:rFonts w:ascii="Calibri" w:hAnsi="Calibri"/>
                <w:sz w:val="22"/>
              </w:rPr>
              <w:t>June 5, 2026</w:t>
            </w:r>
          </w:p>
        </w:tc>
        <w:tc>
          <w:tcPr>
            <w:tcW w:type="dxa" w:w="1080"/>
          </w:tcPr>
          <w:p>
            <w:r>
              <w:rPr>
                <w:rFonts w:ascii="Calibri" w:hAnsi="Calibri"/>
                <w:sz w:val="22"/>
              </w:rPr>
              <w:t>June 8, 2026</w:t>
            </w:r>
          </w:p>
        </w:tc>
        <w:tc>
          <w:tcPr>
            <w:tcW w:type="dxa" w:w="1080"/>
          </w:tcPr>
          <w:p>
            <w:r>
              <w:rPr>
                <w:rFonts w:ascii="Calibri" w:hAnsi="Calibri"/>
                <w:sz w:val="22"/>
              </w:rPr>
              <w:t>810,455</w:t>
            </w:r>
          </w:p>
        </w:tc>
        <w:tc>
          <w:tcPr>
            <w:tcW w:type="dxa" w:w="1080"/>
          </w:tcPr>
          <w:p>
            <w:r>
              <w:rPr>
                <w:rFonts w:ascii="Calibri" w:hAnsi="Calibri"/>
                <w:sz w:val="22"/>
              </w:rPr>
              <w:t>Discretionary sale (not under 10b5-1 plan). ~9% reduction in direct holdings. Stock up ~9% since last earnings at time of sale. No insider buying reported in the period.</w:t>
            </w:r>
          </w:p>
        </w:tc>
      </w:tr>
    </w:tbl>
    <w:p>
      <w:r>
        <w:rPr>
          <w:rFonts w:ascii="Calibri" w:hAnsi="Calibri"/>
          <w:i/>
          <w:color w:val="525866"/>
          <w:sz w:val="22"/>
        </w:rPr>
        <w:t>Source: Insider Transaction Data (SEC Form 4 Filings Database). Form 4 filed June 8, 2026 for transaction dated June 5, 2026.</w:t>
      </w:r>
    </w:p>
    <w:p>
      <w:r>
        <w:rPr>
          <w:rFonts w:ascii="Calibri" w:hAnsi="Calibri"/>
          <w:b/>
          <w:color w:val="525866"/>
          <w:sz w:val="22"/>
        </w:rPr>
        <w:t xml:space="preserve">Context: </w:t>
      </w:r>
      <w:r>
        <w:rPr>
          <w:rFonts w:ascii="Calibri" w:hAnsi="Calibri"/>
          <w:color w:val="525866"/>
          <w:sz w:val="22"/>
        </w:rPr>
        <w:t>No other insider transactions (buys or sells) were reported for UDR between April 29, 2026 and July 26, 2026. The absence of insider buying is not unusual for a REIT where management compensation is heavily equity-based and insiders already hold substantial positions. The CEO’s sale is the only signal to flag, and it is not definitively bearish given the stock’s strong run and Toomey’s continued large ownership stake.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