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UDR, Inc. (UDR) — Q2 2026 Earnings Preview</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rPr>
                <w:rFonts w:ascii="Calibri" w:hAnsi="Calibri"/>
                <w:b/>
                <w:sz w:val="22"/>
              </w:rPr>
              <w:t>Company</w:t>
            </w:r>
          </w:p>
        </w:tc>
        <w:tc>
          <w:tcPr>
            <w:tcW w:type="dxa" w:w="2160"/>
          </w:tcPr>
          <w:p>
            <w:r>
              <w:rPr>
                <w:rFonts w:ascii="Calibri" w:hAnsi="Calibri"/>
                <w:sz w:val="22"/>
              </w:rPr>
              <w:t>UDR, Inc.</w:t>
            </w:r>
          </w:p>
        </w:tc>
        <w:tc>
          <w:tcPr>
            <w:tcW w:type="dxa" w:w="2160"/>
          </w:tcPr>
          <w:p>
            <w:r>
              <w:rPr>
                <w:rFonts w:ascii="Calibri" w:hAnsi="Calibri"/>
                <w:b/>
                <w:sz w:val="22"/>
              </w:rPr>
              <w:t>Earnings Date</w:t>
            </w:r>
          </w:p>
        </w:tc>
        <w:tc>
          <w:tcPr>
            <w:tcW w:type="dxa" w:w="2160"/>
          </w:tcPr>
          <w:p>
            <w:r>
              <w:rPr>
                <w:rFonts w:ascii="Calibri" w:hAnsi="Calibri"/>
                <w:sz w:val="22"/>
              </w:rPr>
              <w:t>July 27, 2026 (After Market Close)</w:t>
            </w:r>
          </w:p>
        </w:tc>
      </w:tr>
      <w:tr>
        <w:tc>
          <w:tcPr>
            <w:tcW w:type="dxa" w:w="2160"/>
          </w:tcPr>
          <w:p>
            <w:r>
              <w:rPr>
                <w:rFonts w:ascii="Calibri" w:hAnsi="Calibri"/>
                <w:b/>
                <w:sz w:val="22"/>
              </w:rPr>
              <w:t>Ticker</w:t>
            </w:r>
          </w:p>
        </w:tc>
        <w:tc>
          <w:tcPr>
            <w:tcW w:type="dxa" w:w="2160"/>
          </w:tcPr>
          <w:p>
            <w:r>
              <w:rPr>
                <w:rFonts w:ascii="Calibri" w:hAnsi="Calibri"/>
                <w:sz w:val="22"/>
              </w:rPr>
              <w:t>NYSE: UDR</w:t>
            </w:r>
          </w:p>
        </w:tc>
        <w:tc>
          <w:tcPr>
            <w:tcW w:type="dxa" w:w="2160"/>
          </w:tcPr>
          <w:p>
            <w:r>
              <w:rPr>
                <w:rFonts w:ascii="Calibri" w:hAnsi="Calibri"/>
                <w:b/>
                <w:sz w:val="22"/>
              </w:rPr>
              <w:t>Reporting Period</w:t>
            </w:r>
          </w:p>
        </w:tc>
        <w:tc>
          <w:tcPr>
            <w:tcW w:type="dxa" w:w="2160"/>
          </w:tcPr>
          <w:p>
            <w:r>
              <w:rPr>
                <w:rFonts w:ascii="Calibri" w:hAnsi="Calibri"/>
                <w:sz w:val="22"/>
              </w:rPr>
              <w:t>Q2 2026 (Quarter ended June 30, 2026)</w:t>
            </w:r>
          </w:p>
        </w:tc>
      </w:tr>
      <w:tr>
        <w:tc>
          <w:tcPr>
            <w:tcW w:type="dxa" w:w="2160"/>
          </w:tcPr>
          <w:p>
            <w:r>
              <w:rPr>
                <w:rFonts w:ascii="Calibri" w:hAnsi="Calibri"/>
                <w:b/>
                <w:sz w:val="22"/>
              </w:rPr>
              <w:t>Sector</w:t>
            </w:r>
          </w:p>
        </w:tc>
        <w:tc>
          <w:tcPr>
            <w:tcW w:type="dxa" w:w="2160"/>
          </w:tcPr>
          <w:p>
            <w:r>
              <w:rPr>
                <w:rFonts w:ascii="Calibri" w:hAnsi="Calibri"/>
                <w:sz w:val="22"/>
              </w:rPr>
              <w:t>Residential REIT</w:t>
            </w:r>
          </w:p>
        </w:tc>
        <w:tc>
          <w:tcPr>
            <w:tcW w:type="dxa" w:w="2160"/>
          </w:tcPr>
          <w:p>
            <w:r>
              <w:rPr>
                <w:rFonts w:ascii="Calibri" w:hAnsi="Calibri"/>
                <w:b/>
                <w:sz w:val="22"/>
              </w:rPr>
              <w:t>Prepared</w:t>
            </w:r>
          </w:p>
        </w:tc>
        <w:tc>
          <w:tcPr>
            <w:tcW w:type="dxa" w:w="2160"/>
          </w:tcPr>
          <w:p>
            <w:r>
              <w:rPr>
                <w:rFonts w:ascii="Calibri" w:hAnsi="Calibri"/>
                <w:sz w:val="22"/>
              </w:rPr>
              <w:t>July 26, 2026</w:t>
            </w:r>
          </w:p>
        </w:tc>
      </w:tr>
      <w:tr>
        <w:tc>
          <w:tcPr>
            <w:tcW w:type="dxa" w:w="2160"/>
          </w:tcPr>
          <w:p>
            <w:r>
              <w:rPr>
                <w:rFonts w:ascii="Calibri" w:hAnsi="Calibri"/>
                <w:b/>
                <w:sz w:val="22"/>
              </w:rPr>
              <w:t>Conference Call</w:t>
            </w:r>
          </w:p>
        </w:tc>
        <w:tc>
          <w:tcPr>
            <w:tcW w:type="dxa" w:w="2160"/>
          </w:tcPr>
          <w:p>
            <w:r>
              <w:rPr>
                <w:rFonts w:ascii="Calibri" w:hAnsi="Calibri"/>
                <w:sz w:val="22"/>
              </w:rPr>
              <w:t>July 28, 2026 at 12:00 p.m. ET</w:t>
            </w:r>
          </w:p>
        </w:tc>
        <w:tc>
          <w:tcPr>
            <w:tcW w:type="dxa" w:w="2160"/>
          </w:tcPr>
          <w:p>
            <w:r>
              <w:rPr>
                <w:rFonts w:ascii="Calibri" w:hAnsi="Calibri"/>
                <w:b/>
                <w:sz w:val="22"/>
              </w:rPr>
              <w:t>Last Earnings</w:t>
            </w:r>
          </w:p>
        </w:tc>
        <w:tc>
          <w:tcPr>
            <w:tcW w:type="dxa" w:w="2160"/>
          </w:tcPr>
          <w:p>
            <w:r>
              <w:rPr>
                <w:rFonts w:ascii="Calibri" w:hAnsi="Calibri"/>
                <w:sz w:val="22"/>
              </w:rPr>
              <w:t>April 29–30, 2026 (Q1 2026)</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The setup into Q2 2026 is modestly constructive — consensus sits at a low bar on FFOA per share and same-store NOI, peer prints from EQR and AVB both beat and raised guidance, and UDR’s own blended lease rate guidance of 1.5–2.0% for Q2 appears achievable given the coastal acceleration visible in peer data; the biggest swing factor is whether Sunbelt softness seen in April has stabilized or worsened.</w:t>
      </w:r>
    </w:p>
    <w:p>
      <w:r>
        <w:rPr>
          <w:rFonts w:ascii="Calibri" w:hAnsi="Calibri"/>
          <w:color w:val="525866"/>
          <w:sz w:val="22"/>
        </w:rPr>
        <w:t xml:space="preserve">Heading into Q2 2026 results, the bar for UDR looks manageable. Consensus FFOA per share of ~$0.634 sits slightly below the $0.63 midpoint of company guidance, and same-store NOI consensus of approximately −0.3% YoY is well below the full-year guidance midpoint of +0.125%, implying the Street has already baked in a weak first half. </w:t>
      </w:r>
      <w:r>
        <w:rPr>
          <w:rFonts w:ascii="Calibri" w:hAnsi="Calibri"/>
          <w:b/>
          <w:color w:val="525866"/>
          <w:sz w:val="22"/>
        </w:rPr>
        <w:t>Management’s tone on the Q1 call was confident</w:t>
      </w:r>
      <w:r>
        <w:rPr>
          <w:rFonts w:ascii="Calibri" w:hAnsi="Calibri"/>
          <w:color w:val="525866"/>
          <w:sz w:val="22"/>
        </w:rPr>
        <w:t xml:space="preserve"> — Q2 was described as “progressing according to plan,” blended lease rates were tracking 1.5–2.0%, and occupancy was expected in the mid-96% range. Estimate revisions have been broadly stable since the Q1 print, with FFOA per share estimates drifting only modestly lower and same-store revenue estimates ticking down ~6 bps to ~0.97% for Q2. The stock has rallied ~9.5% since the April 29 earnings date, outperforming XLRE (+5.3%) and the S&amp;P 500 (+3.8%), suggesting some beat expectation is already priced in. The key wildcard is </w:t>
      </w:r>
      <w:r>
        <w:rPr>
          <w:rFonts w:ascii="Calibri" w:hAnsi="Calibri"/>
          <w:b/>
          <w:color w:val="525866"/>
          <w:sz w:val="22"/>
        </w:rPr>
        <w:t>Sunbelt market trajectory</w:t>
      </w:r>
      <w:r>
        <w:rPr>
          <w:rFonts w:ascii="Calibri" w:hAnsi="Calibri"/>
          <w:color w:val="525866"/>
          <w:sz w:val="22"/>
        </w:rPr>
        <w:t>: management flagged that some Sunbelt markets retreated ~100 bps in April (from −1.5% to −2.5% blended), and whether that softness persisted or reversed through May–June will be the primary determinant of whether UDR meets or beats same-store revenue guidance. Coastal markets (San Francisco, New York) remain a clear tailwind, with peer data from EQR showing SF revenue up 7.0% YoY and blended rates accelerating to 3.0% in July.</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is a low bar on both FFOA per share and same-store NOI — the Street is modeling a sequential improvement from Q1’s weather-impacted results but has not fully credited the coastal acceleration visible in peer data. </w:t>
      </w:r>
      <w:r>
        <w:rPr>
          <w:rFonts w:ascii="Calibri" w:hAnsi="Calibri"/>
          <w:b/>
          <w:color w:val="525866"/>
          <w:sz w:val="22"/>
        </w:rPr>
        <w:t>Blended lease rate growth is the bigger swing factor</w:t>
      </w:r>
      <w:r>
        <w:rPr>
          <w:rFonts w:ascii="Calibri" w:hAnsi="Calibri"/>
          <w:color w:val="525866"/>
          <w:sz w:val="22"/>
        </w:rPr>
        <w:t>: if UDR’s 1.5–2.0% Q2 guidance holds, same-store revenue could come in above the ~0.97% consensus estimate.</w:t>
      </w:r>
    </w:p>
    <w:p>
      <w:pPr>
        <w:pStyle w:val="Heading3"/>
      </w:pPr>
      <w:r>
        <w:rPr>
          <w:rFonts w:ascii="Calibri" w:hAnsi="Calibri"/>
          <w:b/>
          <w:color w:val="3B4259"/>
          <w:sz w:val="24"/>
        </w:rPr>
        <w:t>Table 1 — Current Quarter Snapshot (Q2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Q2 2026 Guidance</w:t>
            </w:r>
          </w:p>
        </w:tc>
        <w:tc>
          <w:tcPr>
            <w:tcW w:type="dxa" w:w="1234"/>
            <w:shd w:val="clear" w:color="auto" w:fill="3B4259"/>
          </w:tcPr>
          <w:p>
            <w:r>
              <w:rPr>
                <w:rFonts w:ascii="Calibri" w:hAnsi="Calibri"/>
                <w:b/>
                <w:color w:val="FFFFFF"/>
                <w:sz w:val="22"/>
              </w:rPr>
              <w:t>Consensus vs. Guidance Midpoint</w:t>
            </w:r>
          </w:p>
        </w:tc>
      </w:tr>
      <w:tr>
        <w:tc>
          <w:tcPr>
            <w:tcW w:type="dxa" w:w="1234"/>
          </w:tcPr>
          <w:p>
            <w:r>
              <w:rPr>
                <w:rFonts w:ascii="Calibri" w:hAnsi="Calibri"/>
                <w:sz w:val="22"/>
              </w:rPr>
              <w:t>FFOA per Share — Diluted ($)</w:t>
            </w:r>
          </w:p>
        </w:tc>
        <w:tc>
          <w:tcPr>
            <w:tcW w:type="dxa" w:w="1234"/>
          </w:tcPr>
          <w:p>
            <w:r>
              <w:rPr>
                <w:rFonts w:ascii="Calibri" w:hAnsi="Calibri"/>
                <w:sz w:val="22"/>
              </w:rPr>
              <w:t>0.62</w:t>
            </w:r>
          </w:p>
        </w:tc>
        <w:tc>
          <w:tcPr>
            <w:tcW w:type="dxa" w:w="1234"/>
          </w:tcPr>
          <w:p>
            <w:r>
              <w:rPr>
                <w:rFonts w:ascii="Calibri" w:hAnsi="Calibri"/>
                <w:sz w:val="22"/>
              </w:rPr>
              <w:t>0.64</w:t>
            </w:r>
          </w:p>
        </w:tc>
        <w:tc>
          <w:tcPr>
            <w:tcW w:type="dxa" w:w="1234"/>
          </w:tcPr>
          <w:p>
            <w:r>
              <w:rPr>
                <w:rFonts w:ascii="Calibri" w:hAnsi="Calibri"/>
                <w:sz w:val="22"/>
              </w:rPr>
              <w:t>0.634</w:t>
            </w:r>
          </w:p>
        </w:tc>
        <w:tc>
          <w:tcPr>
            <w:tcW w:type="dxa" w:w="1234"/>
          </w:tcPr>
          <w:p>
            <w:r>
              <w:rPr>
                <w:rFonts w:ascii="Calibri" w:hAnsi="Calibri"/>
                <w:sz w:val="22"/>
              </w:rPr>
              <w:t>−0.9%</w:t>
            </w:r>
          </w:p>
        </w:tc>
        <w:tc>
          <w:tcPr>
            <w:tcW w:type="dxa" w:w="1234"/>
          </w:tcPr>
          <w:p>
            <w:r>
              <w:rPr>
                <w:rFonts w:ascii="Calibri" w:hAnsi="Calibri"/>
                <w:sz w:val="22"/>
              </w:rPr>
              <w:t>$0.62–$0.64 (mid: $0.63)</w:t>
            </w:r>
          </w:p>
        </w:tc>
        <w:tc>
          <w:tcPr>
            <w:tcW w:type="dxa" w:w="1234"/>
          </w:tcPr>
          <w:p>
            <w:r>
              <w:rPr>
                <w:rFonts w:ascii="Calibri" w:hAnsi="Calibri"/>
                <w:sz w:val="22"/>
              </w:rPr>
              <w:t>+0.6%</w:t>
            </w:r>
          </w:p>
        </w:tc>
      </w:tr>
      <w:tr>
        <w:tc>
          <w:tcPr>
            <w:tcW w:type="dxa" w:w="1234"/>
          </w:tcPr>
          <w:p>
            <w:r>
              <w:rPr>
                <w:rFonts w:ascii="Calibri" w:hAnsi="Calibri"/>
                <w:sz w:val="22"/>
              </w:rPr>
              <w:t>Same-Store Revenue Growth YoY (%)</w:t>
            </w:r>
          </w:p>
        </w:tc>
        <w:tc>
          <w:tcPr>
            <w:tcW w:type="dxa" w:w="1234"/>
          </w:tcPr>
          <w:p>
            <w:r>
              <w:rPr>
                <w:rFonts w:ascii="Calibri" w:hAnsi="Calibri"/>
                <w:sz w:val="22"/>
              </w:rPr>
              <w:t>0.9%</w:t>
            </w:r>
          </w:p>
        </w:tc>
        <w:tc>
          <w:tcPr>
            <w:tcW w:type="dxa" w:w="1234"/>
          </w:tcPr>
          <w:p>
            <w:r>
              <w:rPr>
                <w:rFonts w:ascii="Calibri" w:hAnsi="Calibri"/>
                <w:sz w:val="22"/>
              </w:rPr>
              <w:t>2.5%</w:t>
            </w:r>
          </w:p>
        </w:tc>
        <w:tc>
          <w:tcPr>
            <w:tcW w:type="dxa" w:w="1234"/>
          </w:tcPr>
          <w:p>
            <w:r>
              <w:rPr>
                <w:rFonts w:ascii="Calibri" w:hAnsi="Calibri"/>
                <w:sz w:val="22"/>
              </w:rPr>
              <w:t>0.97%</w:t>
            </w:r>
          </w:p>
        </w:tc>
        <w:tc>
          <w:tcPr>
            <w:tcW w:type="dxa" w:w="1234"/>
          </w:tcPr>
          <w:p>
            <w:r>
              <w:rPr>
                <w:rFonts w:ascii="Calibri" w:hAnsi="Calibri"/>
                <w:sz w:val="22"/>
              </w:rPr>
              <w:t>−1.5 pp</w:t>
            </w:r>
          </w:p>
        </w:tc>
        <w:tc>
          <w:tcPr>
            <w:tcW w:type="dxa" w:w="1234"/>
          </w:tcPr>
          <w:p>
            <w:r>
              <w:rPr>
                <w:rFonts w:ascii="Calibri" w:hAnsi="Calibri"/>
                <w:sz w:val="22"/>
              </w:rPr>
              <w:t>FY: 0.25%–2.25% (mid: 1.25%)</w:t>
            </w:r>
          </w:p>
        </w:tc>
        <w:tc>
          <w:tcPr>
            <w:tcW w:type="dxa" w:w="1234"/>
          </w:tcPr>
          <w:p>
            <w:r>
              <w:rPr>
                <w:rFonts w:ascii="Calibri" w:hAnsi="Calibri"/>
                <w:sz w:val="22"/>
              </w:rPr>
              <w:t>N/A (FY guidance only)</w:t>
            </w:r>
          </w:p>
        </w:tc>
      </w:tr>
      <w:tr>
        <w:tc>
          <w:tcPr>
            <w:tcW w:type="dxa" w:w="1234"/>
          </w:tcPr>
          <w:p>
            <w:r>
              <w:rPr>
                <w:rFonts w:ascii="Calibri" w:hAnsi="Calibri"/>
                <w:sz w:val="22"/>
              </w:rPr>
              <w:t>Same-Store NOI Growth YoY (%)</w:t>
            </w:r>
          </w:p>
        </w:tc>
        <w:tc>
          <w:tcPr>
            <w:tcW w:type="dxa" w:w="1234"/>
          </w:tcPr>
          <w:p>
            <w:r>
              <w:rPr>
                <w:rFonts w:ascii="Calibri" w:hAnsi="Calibri"/>
                <w:sz w:val="22"/>
              </w:rPr>
              <w:t>−0.8%</w:t>
            </w:r>
          </w:p>
        </w:tc>
        <w:tc>
          <w:tcPr>
            <w:tcW w:type="dxa" w:w="1234"/>
          </w:tcPr>
          <w:p>
            <w:r>
              <w:rPr>
                <w:rFonts w:ascii="Calibri" w:hAnsi="Calibri"/>
                <w:sz w:val="22"/>
              </w:rPr>
              <w:t>2.9%</w:t>
            </w:r>
          </w:p>
        </w:tc>
        <w:tc>
          <w:tcPr>
            <w:tcW w:type="dxa" w:w="1234"/>
          </w:tcPr>
          <w:p>
            <w:r>
              <w:rPr>
                <w:rFonts w:ascii="Calibri" w:hAnsi="Calibri"/>
                <w:sz w:val="22"/>
              </w:rPr>
              <w:t>−0.30%</w:t>
            </w:r>
          </w:p>
        </w:tc>
        <w:tc>
          <w:tcPr>
            <w:tcW w:type="dxa" w:w="1234"/>
          </w:tcPr>
          <w:p>
            <w:r>
              <w:rPr>
                <w:rFonts w:ascii="Calibri" w:hAnsi="Calibri"/>
                <w:sz w:val="22"/>
              </w:rPr>
              <w:t>−3.2 pp</w:t>
            </w:r>
          </w:p>
        </w:tc>
        <w:tc>
          <w:tcPr>
            <w:tcW w:type="dxa" w:w="1234"/>
          </w:tcPr>
          <w:p>
            <w:r>
              <w:rPr>
                <w:rFonts w:ascii="Calibri" w:hAnsi="Calibri"/>
                <w:sz w:val="22"/>
              </w:rPr>
              <w:t>FY: −1.0%–1.25% (mid: 0.125%)</w:t>
            </w:r>
          </w:p>
        </w:tc>
        <w:tc>
          <w:tcPr>
            <w:tcW w:type="dxa" w:w="1234"/>
          </w:tcPr>
          <w:p>
            <w:r>
              <w:rPr>
                <w:rFonts w:ascii="Calibri" w:hAnsi="Calibri"/>
                <w:sz w:val="22"/>
              </w:rPr>
              <w:t>N/A (FY guidance only)</w:t>
            </w:r>
          </w:p>
        </w:tc>
      </w:tr>
      <w:tr>
        <w:tc>
          <w:tcPr>
            <w:tcW w:type="dxa" w:w="1234"/>
          </w:tcPr>
          <w:p>
            <w:r>
              <w:rPr>
                <w:rFonts w:ascii="Calibri" w:hAnsi="Calibri"/>
                <w:sz w:val="22"/>
              </w:rPr>
              <w:t>Same-Store Expense Growth YoY (%)</w:t>
            </w:r>
          </w:p>
        </w:tc>
        <w:tc>
          <w:tcPr>
            <w:tcW w:type="dxa" w:w="1234"/>
          </w:tcPr>
          <w:p>
            <w:r>
              <w:rPr>
                <w:rFonts w:ascii="Calibri" w:hAnsi="Calibri"/>
                <w:sz w:val="22"/>
              </w:rPr>
              <w:t>4.4%</w:t>
            </w:r>
          </w:p>
        </w:tc>
        <w:tc>
          <w:tcPr>
            <w:tcW w:type="dxa" w:w="1234"/>
          </w:tcPr>
          <w:p>
            <w:r>
              <w:rPr>
                <w:rFonts w:ascii="Calibri" w:hAnsi="Calibri"/>
                <w:sz w:val="22"/>
              </w:rPr>
              <w:t>1.7%</w:t>
            </w:r>
          </w:p>
        </w:tc>
        <w:tc>
          <w:tcPr>
            <w:tcW w:type="dxa" w:w="1234"/>
          </w:tcPr>
          <w:p>
            <w:r>
              <w:rPr>
                <w:rFonts w:ascii="Calibri" w:hAnsi="Calibri"/>
                <w:sz w:val="22"/>
              </w:rPr>
              <w:t>3.79%</w:t>
            </w:r>
          </w:p>
        </w:tc>
        <w:tc>
          <w:tcPr>
            <w:tcW w:type="dxa" w:w="1234"/>
          </w:tcPr>
          <w:p>
            <w:r>
              <w:rPr>
                <w:rFonts w:ascii="Calibri" w:hAnsi="Calibri"/>
                <w:sz w:val="22"/>
              </w:rPr>
              <w:t>+2.1 pp</w:t>
            </w:r>
          </w:p>
        </w:tc>
        <w:tc>
          <w:tcPr>
            <w:tcW w:type="dxa" w:w="1234"/>
          </w:tcPr>
          <w:p>
            <w:r>
              <w:rPr>
                <w:rFonts w:ascii="Calibri" w:hAnsi="Calibri"/>
                <w:sz w:val="22"/>
              </w:rPr>
              <w:t>FY: 3.0%–4.5% (mid: 3.75%)</w:t>
            </w:r>
          </w:p>
        </w:tc>
        <w:tc>
          <w:tcPr>
            <w:tcW w:type="dxa" w:w="1234"/>
          </w:tcPr>
          <w:p>
            <w:r>
              <w:rPr>
                <w:rFonts w:ascii="Calibri" w:hAnsi="Calibri"/>
                <w:sz w:val="22"/>
              </w:rPr>
              <w:t>+0.1% above mid</w:t>
            </w:r>
          </w:p>
        </w:tc>
      </w:tr>
      <w:tr>
        <w:tc>
          <w:tcPr>
            <w:tcW w:type="dxa" w:w="1234"/>
          </w:tcPr>
          <w:p>
            <w:r>
              <w:rPr>
                <w:rFonts w:ascii="Calibri" w:hAnsi="Calibri"/>
                <w:sz w:val="22"/>
              </w:rPr>
              <w:t>Effective Blended Lease Rate — Same Store (%)</w:t>
            </w:r>
          </w:p>
        </w:tc>
        <w:tc>
          <w:tcPr>
            <w:tcW w:type="dxa" w:w="1234"/>
          </w:tcPr>
          <w:p>
            <w:r>
              <w:rPr>
                <w:rFonts w:ascii="Calibri" w:hAnsi="Calibri"/>
                <w:sz w:val="22"/>
              </w:rPr>
              <w:t>1.6%</w:t>
            </w:r>
          </w:p>
        </w:tc>
        <w:tc>
          <w:tcPr>
            <w:tcW w:type="dxa" w:w="1234"/>
          </w:tcPr>
          <w:p>
            <w:r>
              <w:rPr>
                <w:rFonts w:ascii="Calibri" w:hAnsi="Calibri"/>
                <w:sz w:val="22"/>
              </w:rPr>
              <w:t>2.8%</w:t>
            </w:r>
          </w:p>
        </w:tc>
        <w:tc>
          <w:tcPr>
            <w:tcW w:type="dxa" w:w="1234"/>
          </w:tcPr>
          <w:p>
            <w:r>
              <w:rPr>
                <w:rFonts w:ascii="Calibri" w:hAnsi="Calibri"/>
                <w:sz w:val="22"/>
              </w:rPr>
              <w:t>2.20%</w:t>
            </w:r>
          </w:p>
        </w:tc>
        <w:tc>
          <w:tcPr>
            <w:tcW w:type="dxa" w:w="1234"/>
          </w:tcPr>
          <w:p>
            <w:r>
              <w:rPr>
                <w:rFonts w:ascii="Calibri" w:hAnsi="Calibri"/>
                <w:sz w:val="22"/>
              </w:rPr>
              <w:t>−0.6 pp</w:t>
            </w:r>
          </w:p>
        </w:tc>
        <w:tc>
          <w:tcPr>
            <w:tcW w:type="dxa" w:w="1234"/>
          </w:tcPr>
          <w:p>
            <w:r>
              <w:rPr>
                <w:rFonts w:ascii="Calibri" w:hAnsi="Calibri"/>
                <w:sz w:val="22"/>
              </w:rPr>
              <w:t>1.5%–2.0% (Q2 specific)</w:t>
            </w:r>
          </w:p>
        </w:tc>
        <w:tc>
          <w:tcPr>
            <w:tcW w:type="dxa" w:w="1234"/>
          </w:tcPr>
          <w:p>
            <w:r>
              <w:rPr>
                <w:rFonts w:ascii="Calibri" w:hAnsi="Calibri"/>
                <w:sz w:val="22"/>
              </w:rPr>
              <w:t>+20 bps above mid</w:t>
            </w:r>
          </w:p>
        </w:tc>
      </w:tr>
      <w:tr>
        <w:tc>
          <w:tcPr>
            <w:tcW w:type="dxa" w:w="1234"/>
          </w:tcPr>
          <w:p>
            <w:r>
              <w:rPr>
                <w:rFonts w:ascii="Calibri" w:hAnsi="Calibri"/>
                <w:sz w:val="22"/>
              </w:rPr>
              <w:t>Occupancy Rate — Same Store (%)</w:t>
            </w:r>
          </w:p>
        </w:tc>
        <w:tc>
          <w:tcPr>
            <w:tcW w:type="dxa" w:w="1234"/>
          </w:tcPr>
          <w:p>
            <w:r>
              <w:rPr>
                <w:rFonts w:ascii="Calibri" w:hAnsi="Calibri"/>
                <w:sz w:val="22"/>
              </w:rPr>
              <w:t>96.6%</w:t>
            </w:r>
          </w:p>
        </w:tc>
        <w:tc>
          <w:tcPr>
            <w:tcW w:type="dxa" w:w="1234"/>
          </w:tcPr>
          <w:p>
            <w:r>
              <w:rPr>
                <w:rFonts w:ascii="Calibri" w:hAnsi="Calibri"/>
                <w:sz w:val="22"/>
              </w:rPr>
              <w:t>96.9%</w:t>
            </w:r>
          </w:p>
        </w:tc>
        <w:tc>
          <w:tcPr>
            <w:tcW w:type="dxa" w:w="1234"/>
          </w:tcPr>
          <w:p>
            <w:r>
              <w:rPr>
                <w:rFonts w:ascii="Calibri" w:hAnsi="Calibri"/>
                <w:sz w:val="22"/>
              </w:rPr>
              <w:t>96.6%</w:t>
            </w:r>
          </w:p>
        </w:tc>
        <w:tc>
          <w:tcPr>
            <w:tcW w:type="dxa" w:w="1234"/>
          </w:tcPr>
          <w:p>
            <w:r>
              <w:rPr>
                <w:rFonts w:ascii="Calibri" w:hAnsi="Calibri"/>
                <w:sz w:val="22"/>
              </w:rPr>
              <w:t>−0.3 pp</w:t>
            </w:r>
          </w:p>
        </w:tc>
        <w:tc>
          <w:tcPr>
            <w:tcW w:type="dxa" w:w="1234"/>
          </w:tcPr>
          <w:p>
            <w:r>
              <w:rPr>
                <w:rFonts w:ascii="Calibri" w:hAnsi="Calibri"/>
                <w:sz w:val="22"/>
              </w:rPr>
              <w:t>Mid-96% range (Q2 specific)</w:t>
            </w:r>
          </w:p>
        </w:tc>
        <w:tc>
          <w:tcPr>
            <w:tcW w:type="dxa" w:w="1234"/>
          </w:tcPr>
          <w:p>
            <w:r>
              <w:rPr>
                <w:rFonts w:ascii="Calibri" w:hAnsi="Calibri"/>
                <w:sz w:val="22"/>
              </w:rPr>
              <w:t>In line</w:t>
            </w:r>
          </w:p>
        </w:tc>
      </w:tr>
    </w:tbl>
    <w:p>
      <w:r>
        <w:rPr>
          <w:rFonts w:ascii="Calibri" w:hAnsi="Calibri"/>
          <w:i/>
          <w:color w:val="525866"/>
          <w:sz w:val="22"/>
        </w:rPr>
        <w:t>Source: Visible Alpha Consensus and Actuals Data; UDR Q1 2026 Earnings Release (April 29, 2026). FFOA per share consensus as of July 26, 2026.</w:t>
      </w:r>
    </w:p>
    <w:p>
      <w:pPr>
        <w:pStyle w:val="Heading3"/>
      </w:pPr>
      <w:r>
        <w:rPr>
          <w:rFonts w:ascii="Calibri" w:hAnsi="Calibri"/>
          <w:b/>
          <w:color w:val="3B4259"/>
          <w:sz w:val="24"/>
        </w:rPr>
        <w:t>Table 2 — Beat/Miss History: Last 8 Quarters (Top 2 KPIs)</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w:t>
            </w:r>
          </w:p>
        </w:tc>
        <w:tc>
          <w:tcPr>
            <w:tcW w:type="dxa" w:w="1440"/>
            <w:shd w:val="clear" w:color="auto" w:fill="3B4259"/>
          </w:tcPr>
          <w:p>
            <w:r>
              <w:rPr>
                <w:rFonts w:ascii="Calibri" w:hAnsi="Calibri"/>
                <w:b/>
                <w:color w:val="FFFFFF"/>
                <w:sz w:val="22"/>
              </w:rPr>
              <w:t>Consensus</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Q1 2026</w:t>
            </w:r>
          </w:p>
        </w:tc>
        <w:tc>
          <w:tcPr>
            <w:tcW w:type="dxa" w:w="1440"/>
          </w:tcPr>
          <w:p>
            <w:r>
              <w:rPr>
                <w:rFonts w:ascii="Calibri" w:hAnsi="Calibri"/>
                <w:sz w:val="22"/>
              </w:rPr>
              <w:t>FFOA/share ($)</w:t>
            </w:r>
          </w:p>
        </w:tc>
        <w:tc>
          <w:tcPr>
            <w:tcW w:type="dxa" w:w="1440"/>
          </w:tcPr>
          <w:p>
            <w:r>
              <w:rPr>
                <w:rFonts w:ascii="Calibri" w:hAnsi="Calibri"/>
                <w:sz w:val="22"/>
              </w:rPr>
              <w:t>0.62</w:t>
            </w:r>
          </w:p>
        </w:tc>
        <w:tc>
          <w:tcPr>
            <w:tcW w:type="dxa" w:w="1440"/>
          </w:tcPr>
          <w:p>
            <w:r>
              <w:rPr>
                <w:rFonts w:ascii="Calibri" w:hAnsi="Calibri"/>
                <w:sz w:val="22"/>
              </w:rPr>
              <w:t>0.624</w:t>
            </w:r>
          </w:p>
        </w:tc>
        <w:tc>
          <w:tcPr>
            <w:tcW w:type="dxa" w:w="1440"/>
          </w:tcPr>
          <w:p>
            <w:r>
              <w:rPr>
                <w:rFonts w:ascii="Calibri" w:hAnsi="Calibri"/>
                <w:sz w:val="22"/>
              </w:rPr>
              <w:t>−0.6%</w:t>
            </w:r>
          </w:p>
        </w:tc>
        <w:tc>
          <w:tcPr>
            <w:tcW w:type="dxa" w:w="1440"/>
          </w:tcPr>
          <w:p>
            <w:r>
              <w:rPr>
                <w:rFonts w:ascii="Calibri" w:hAnsi="Calibri"/>
                <w:sz w:val="22"/>
              </w:rPr>
              <w:t>In Line</w:t>
            </w:r>
          </w:p>
        </w:tc>
      </w:tr>
      <w:tr>
        <w:tc>
          <w:tcPr>
            <w:tcW w:type="dxa" w:w="1440"/>
          </w:tcPr>
          <w:p>
            <w:r>
              <w:rPr>
                <w:rFonts w:ascii="Calibri" w:hAnsi="Calibri"/>
                <w:sz w:val="22"/>
              </w:rPr>
              <w:t>Q1 2026</w:t>
            </w:r>
          </w:p>
        </w:tc>
        <w:tc>
          <w:tcPr>
            <w:tcW w:type="dxa" w:w="1440"/>
          </w:tcPr>
          <w:p>
            <w:r>
              <w:rPr>
                <w:rFonts w:ascii="Calibri" w:hAnsi="Calibri"/>
                <w:sz w:val="22"/>
              </w:rPr>
              <w:t>SS Revenue Growth (%)</w:t>
            </w:r>
          </w:p>
        </w:tc>
        <w:tc>
          <w:tcPr>
            <w:tcW w:type="dxa" w:w="1440"/>
          </w:tcPr>
          <w:p>
            <w:r>
              <w:rPr>
                <w:rFonts w:ascii="Calibri" w:hAnsi="Calibri"/>
                <w:sz w:val="22"/>
              </w:rPr>
              <w:t>0.9%</w:t>
            </w:r>
          </w:p>
        </w:tc>
        <w:tc>
          <w:tcPr>
            <w:tcW w:type="dxa" w:w="1440"/>
          </w:tcPr>
          <w:p>
            <w:r>
              <w:rPr>
                <w:rFonts w:ascii="Calibri" w:hAnsi="Calibri"/>
                <w:sz w:val="22"/>
              </w:rPr>
              <w:t>1.24%</w:t>
            </w:r>
          </w:p>
        </w:tc>
        <w:tc>
          <w:tcPr>
            <w:tcW w:type="dxa" w:w="1440"/>
          </w:tcPr>
          <w:p>
            <w:r>
              <w:rPr>
                <w:rFonts w:ascii="Calibri" w:hAnsi="Calibri"/>
                <w:sz w:val="22"/>
              </w:rPr>
              <w:t>−27 bps</w:t>
            </w:r>
          </w:p>
        </w:tc>
        <w:tc>
          <w:tcPr>
            <w:tcW w:type="dxa" w:w="1440"/>
          </w:tcPr>
          <w:p>
            <w:r>
              <w:rPr>
                <w:rFonts w:ascii="Calibri" w:hAnsi="Calibri"/>
                <w:b/>
                <w:color w:val="E5484D"/>
                <w:sz w:val="22"/>
              </w:rPr>
              <w:t>Miss</w:t>
            </w:r>
          </w:p>
        </w:tc>
      </w:tr>
      <w:tr>
        <w:tc>
          <w:tcPr>
            <w:tcW w:type="dxa" w:w="1440"/>
          </w:tcPr>
          <w:p>
            <w:r>
              <w:rPr>
                <w:rFonts w:ascii="Calibri" w:hAnsi="Calibri"/>
                <w:sz w:val="22"/>
              </w:rPr>
              <w:t>Q4 2025</w:t>
            </w:r>
          </w:p>
        </w:tc>
        <w:tc>
          <w:tcPr>
            <w:tcW w:type="dxa" w:w="1440"/>
          </w:tcPr>
          <w:p>
            <w:r>
              <w:rPr>
                <w:rFonts w:ascii="Calibri" w:hAnsi="Calibri"/>
                <w:sz w:val="22"/>
              </w:rPr>
              <w:t>FFOA/share ($)</w:t>
            </w:r>
          </w:p>
        </w:tc>
        <w:tc>
          <w:tcPr>
            <w:tcW w:type="dxa" w:w="1440"/>
          </w:tcPr>
          <w:p>
            <w:r>
              <w:rPr>
                <w:rFonts w:ascii="Calibri" w:hAnsi="Calibri"/>
                <w:sz w:val="22"/>
              </w:rPr>
              <w:t>0.64</w:t>
            </w:r>
          </w:p>
        </w:tc>
        <w:tc>
          <w:tcPr>
            <w:tcW w:type="dxa" w:w="1440"/>
          </w:tcPr>
          <w:p>
            <w:r>
              <w:rPr>
                <w:rFonts w:ascii="Calibri" w:hAnsi="Calibri"/>
                <w:sz w:val="22"/>
              </w:rPr>
              <w:t>0.642</w:t>
            </w:r>
          </w:p>
        </w:tc>
        <w:tc>
          <w:tcPr>
            <w:tcW w:type="dxa" w:w="1440"/>
          </w:tcPr>
          <w:p>
            <w:r>
              <w:rPr>
                <w:rFonts w:ascii="Calibri" w:hAnsi="Calibri"/>
                <w:sz w:val="22"/>
              </w:rPr>
              <w:t>−0.3%</w:t>
            </w:r>
          </w:p>
        </w:tc>
        <w:tc>
          <w:tcPr>
            <w:tcW w:type="dxa" w:w="1440"/>
          </w:tcPr>
          <w:p>
            <w:r>
              <w:rPr>
                <w:rFonts w:ascii="Calibri" w:hAnsi="Calibri"/>
                <w:sz w:val="22"/>
              </w:rPr>
              <w:t>In Line</w:t>
            </w:r>
          </w:p>
        </w:tc>
      </w:tr>
      <w:tr>
        <w:tc>
          <w:tcPr>
            <w:tcW w:type="dxa" w:w="1440"/>
          </w:tcPr>
          <w:p>
            <w:r>
              <w:rPr>
                <w:rFonts w:ascii="Calibri" w:hAnsi="Calibri"/>
                <w:sz w:val="22"/>
              </w:rPr>
              <w:t>Q4 2025</w:t>
            </w:r>
          </w:p>
        </w:tc>
        <w:tc>
          <w:tcPr>
            <w:tcW w:type="dxa" w:w="1440"/>
          </w:tcPr>
          <w:p>
            <w:r>
              <w:rPr>
                <w:rFonts w:ascii="Calibri" w:hAnsi="Calibri"/>
                <w:sz w:val="22"/>
              </w:rPr>
              <w:t>SS Revenue Growth (%)</w:t>
            </w:r>
          </w:p>
        </w:tc>
        <w:tc>
          <w:tcPr>
            <w:tcW w:type="dxa" w:w="1440"/>
          </w:tcPr>
          <w:p>
            <w:r>
              <w:rPr>
                <w:rFonts w:ascii="Calibri" w:hAnsi="Calibri"/>
                <w:sz w:val="22"/>
              </w:rPr>
              <w:t>1.8%</w:t>
            </w:r>
          </w:p>
        </w:tc>
        <w:tc>
          <w:tcPr>
            <w:tcW w:type="dxa" w:w="1440"/>
          </w:tcPr>
          <w:p>
            <w:r>
              <w:rPr>
                <w:rFonts w:ascii="Calibri" w:hAnsi="Calibri"/>
                <w:sz w:val="22"/>
              </w:rPr>
              <w:t>1.93%</w:t>
            </w:r>
          </w:p>
        </w:tc>
        <w:tc>
          <w:tcPr>
            <w:tcW w:type="dxa" w:w="1440"/>
          </w:tcPr>
          <w:p>
            <w:r>
              <w:rPr>
                <w:rFonts w:ascii="Calibri" w:hAnsi="Calibri"/>
                <w:sz w:val="22"/>
              </w:rPr>
              <w:t>−13 bps</w:t>
            </w:r>
          </w:p>
        </w:tc>
        <w:tc>
          <w:tcPr>
            <w:tcW w:type="dxa" w:w="1440"/>
          </w:tcPr>
          <w:p>
            <w:r>
              <w:rPr>
                <w:rFonts w:ascii="Calibri" w:hAnsi="Calibri"/>
                <w:sz w:val="22"/>
              </w:rPr>
              <w:t>In Line</w:t>
            </w:r>
          </w:p>
        </w:tc>
      </w:tr>
      <w:tr>
        <w:tc>
          <w:tcPr>
            <w:tcW w:type="dxa" w:w="1440"/>
          </w:tcPr>
          <w:p>
            <w:r>
              <w:rPr>
                <w:rFonts w:ascii="Calibri" w:hAnsi="Calibri"/>
                <w:sz w:val="22"/>
              </w:rPr>
              <w:t>Q3 2025</w:t>
            </w:r>
          </w:p>
        </w:tc>
        <w:tc>
          <w:tcPr>
            <w:tcW w:type="dxa" w:w="1440"/>
          </w:tcPr>
          <w:p>
            <w:r>
              <w:rPr>
                <w:rFonts w:ascii="Calibri" w:hAnsi="Calibri"/>
                <w:sz w:val="22"/>
              </w:rPr>
              <w:t>FFOA/share ($)</w:t>
            </w:r>
          </w:p>
        </w:tc>
        <w:tc>
          <w:tcPr>
            <w:tcW w:type="dxa" w:w="1440"/>
          </w:tcPr>
          <w:p>
            <w:r>
              <w:rPr>
                <w:rFonts w:ascii="Calibri" w:hAnsi="Calibri"/>
                <w:sz w:val="22"/>
              </w:rPr>
              <w:t>0.65</w:t>
            </w:r>
          </w:p>
        </w:tc>
        <w:tc>
          <w:tcPr>
            <w:tcW w:type="dxa" w:w="1440"/>
          </w:tcPr>
          <w:p>
            <w:r>
              <w:rPr>
                <w:rFonts w:ascii="Calibri" w:hAnsi="Calibri"/>
                <w:sz w:val="22"/>
              </w:rPr>
              <w:t>0.629</w:t>
            </w:r>
          </w:p>
        </w:tc>
        <w:tc>
          <w:tcPr>
            <w:tcW w:type="dxa" w:w="1440"/>
          </w:tcPr>
          <w:p>
            <w:r>
              <w:rPr>
                <w:rFonts w:ascii="Calibri" w:hAnsi="Calibri"/>
                <w:sz w:val="22"/>
              </w:rPr>
              <w:t>+1.7%</w:t>
            </w:r>
          </w:p>
        </w:tc>
        <w:tc>
          <w:tcPr>
            <w:tcW w:type="dxa" w:w="1440"/>
          </w:tcPr>
          <w:p>
            <w:r>
              <w:rPr>
                <w:rFonts w:ascii="Calibri" w:hAnsi="Calibri"/>
                <w:b/>
                <w:color w:val="30A46C"/>
                <w:sz w:val="22"/>
              </w:rPr>
              <w:t>Beat</w:t>
            </w:r>
          </w:p>
        </w:tc>
      </w:tr>
      <w:tr>
        <w:tc>
          <w:tcPr>
            <w:tcW w:type="dxa" w:w="1440"/>
          </w:tcPr>
          <w:p>
            <w:r>
              <w:rPr>
                <w:rFonts w:ascii="Calibri" w:hAnsi="Calibri"/>
                <w:sz w:val="22"/>
              </w:rPr>
              <w:t>Q3 2025</w:t>
            </w:r>
          </w:p>
        </w:tc>
        <w:tc>
          <w:tcPr>
            <w:tcW w:type="dxa" w:w="1440"/>
          </w:tcPr>
          <w:p>
            <w:r>
              <w:rPr>
                <w:rFonts w:ascii="Calibri" w:hAnsi="Calibri"/>
                <w:sz w:val="22"/>
              </w:rPr>
              <w:t>SS Revenue Growth (%)</w:t>
            </w:r>
          </w:p>
        </w:tc>
        <w:tc>
          <w:tcPr>
            <w:tcW w:type="dxa" w:w="1440"/>
          </w:tcPr>
          <w:p>
            <w:r>
              <w:rPr>
                <w:rFonts w:ascii="Calibri" w:hAnsi="Calibri"/>
                <w:sz w:val="22"/>
              </w:rPr>
              <w:t>2.6%</w:t>
            </w:r>
          </w:p>
        </w:tc>
        <w:tc>
          <w:tcPr>
            <w:tcW w:type="dxa" w:w="1440"/>
          </w:tcPr>
          <w:p>
            <w:r>
              <w:rPr>
                <w:rFonts w:ascii="Calibri" w:hAnsi="Calibri"/>
                <w:sz w:val="22"/>
              </w:rPr>
              <w:t>2.41%</w:t>
            </w:r>
          </w:p>
        </w:tc>
        <w:tc>
          <w:tcPr>
            <w:tcW w:type="dxa" w:w="1440"/>
          </w:tcPr>
          <w:p>
            <w:r>
              <w:rPr>
                <w:rFonts w:ascii="Calibri" w:hAnsi="Calibri"/>
                <w:sz w:val="22"/>
              </w:rPr>
              <w:t>+19 bps</w:t>
            </w:r>
          </w:p>
        </w:tc>
        <w:tc>
          <w:tcPr>
            <w:tcW w:type="dxa" w:w="1440"/>
          </w:tcPr>
          <w:p>
            <w:r>
              <w:rPr>
                <w:rFonts w:ascii="Calibri" w:hAnsi="Calibri"/>
                <w:b/>
                <w:color w:val="30A46C"/>
                <w:sz w:val="22"/>
              </w:rPr>
              <w:t>Beat</w:t>
            </w:r>
          </w:p>
        </w:tc>
      </w:tr>
      <w:tr>
        <w:tc>
          <w:tcPr>
            <w:tcW w:type="dxa" w:w="1440"/>
          </w:tcPr>
          <w:p>
            <w:r>
              <w:rPr>
                <w:rFonts w:ascii="Calibri" w:hAnsi="Calibri"/>
                <w:sz w:val="22"/>
              </w:rPr>
              <w:t>Q2 2025</w:t>
            </w:r>
          </w:p>
        </w:tc>
        <w:tc>
          <w:tcPr>
            <w:tcW w:type="dxa" w:w="1440"/>
          </w:tcPr>
          <w:p>
            <w:r>
              <w:rPr>
                <w:rFonts w:ascii="Calibri" w:hAnsi="Calibri"/>
                <w:sz w:val="22"/>
              </w:rPr>
              <w:t>FFOA/share ($)</w:t>
            </w:r>
          </w:p>
        </w:tc>
        <w:tc>
          <w:tcPr>
            <w:tcW w:type="dxa" w:w="1440"/>
          </w:tcPr>
          <w:p>
            <w:r>
              <w:rPr>
                <w:rFonts w:ascii="Calibri" w:hAnsi="Calibri"/>
                <w:sz w:val="22"/>
              </w:rPr>
              <w:t>0.64</w:t>
            </w:r>
          </w:p>
        </w:tc>
        <w:tc>
          <w:tcPr>
            <w:tcW w:type="dxa" w:w="1440"/>
          </w:tcPr>
          <w:p>
            <w:r>
              <w:rPr>
                <w:rFonts w:ascii="Calibri" w:hAnsi="Calibri"/>
                <w:sz w:val="22"/>
              </w:rPr>
              <w:t>0.625</w:t>
            </w:r>
          </w:p>
        </w:tc>
        <w:tc>
          <w:tcPr>
            <w:tcW w:type="dxa" w:w="1440"/>
          </w:tcPr>
          <w:p>
            <w:r>
              <w:rPr>
                <w:rFonts w:ascii="Calibri" w:hAnsi="Calibri"/>
                <w:sz w:val="22"/>
              </w:rPr>
              <w:t>+2.4%</w:t>
            </w:r>
          </w:p>
        </w:tc>
        <w:tc>
          <w:tcPr>
            <w:tcW w:type="dxa" w:w="1440"/>
          </w:tcPr>
          <w:p>
            <w:r>
              <w:rPr>
                <w:rFonts w:ascii="Calibri" w:hAnsi="Calibri"/>
                <w:b/>
                <w:color w:val="30A46C"/>
                <w:sz w:val="22"/>
              </w:rPr>
              <w:t>Beat</w:t>
            </w:r>
          </w:p>
        </w:tc>
      </w:tr>
      <w:tr>
        <w:tc>
          <w:tcPr>
            <w:tcW w:type="dxa" w:w="1440"/>
          </w:tcPr>
          <w:p>
            <w:r>
              <w:rPr>
                <w:rFonts w:ascii="Calibri" w:hAnsi="Calibri"/>
                <w:sz w:val="22"/>
              </w:rPr>
              <w:t>Q2 2025</w:t>
            </w:r>
          </w:p>
        </w:tc>
        <w:tc>
          <w:tcPr>
            <w:tcW w:type="dxa" w:w="1440"/>
          </w:tcPr>
          <w:p>
            <w:r>
              <w:rPr>
                <w:rFonts w:ascii="Calibri" w:hAnsi="Calibri"/>
                <w:sz w:val="22"/>
              </w:rPr>
              <w:t>SS Revenue Growth (%)</w:t>
            </w:r>
          </w:p>
        </w:tc>
        <w:tc>
          <w:tcPr>
            <w:tcW w:type="dxa" w:w="1440"/>
          </w:tcPr>
          <w:p>
            <w:r>
              <w:rPr>
                <w:rFonts w:ascii="Calibri" w:hAnsi="Calibri"/>
                <w:sz w:val="22"/>
              </w:rPr>
              <w:t>2.5%</w:t>
            </w:r>
          </w:p>
        </w:tc>
        <w:tc>
          <w:tcPr>
            <w:tcW w:type="dxa" w:w="1440"/>
          </w:tcPr>
          <w:p>
            <w:r>
              <w:rPr>
                <w:rFonts w:ascii="Calibri" w:hAnsi="Calibri"/>
                <w:sz w:val="22"/>
              </w:rPr>
              <w:t>2.37%</w:t>
            </w:r>
          </w:p>
        </w:tc>
        <w:tc>
          <w:tcPr>
            <w:tcW w:type="dxa" w:w="1440"/>
          </w:tcPr>
          <w:p>
            <w:r>
              <w:rPr>
                <w:rFonts w:ascii="Calibri" w:hAnsi="Calibri"/>
                <w:sz w:val="22"/>
              </w:rPr>
              <w:t>+13 bps</w:t>
            </w:r>
          </w:p>
        </w:tc>
        <w:tc>
          <w:tcPr>
            <w:tcW w:type="dxa" w:w="1440"/>
          </w:tcPr>
          <w:p>
            <w:r>
              <w:rPr>
                <w:rFonts w:ascii="Calibri" w:hAnsi="Calibri"/>
                <w:b/>
                <w:color w:val="30A46C"/>
                <w:sz w:val="22"/>
              </w:rPr>
              <w:t>Beat</w:t>
            </w:r>
          </w:p>
        </w:tc>
      </w:tr>
      <w:tr>
        <w:tc>
          <w:tcPr>
            <w:tcW w:type="dxa" w:w="1440"/>
          </w:tcPr>
          <w:p>
            <w:r>
              <w:rPr>
                <w:rFonts w:ascii="Calibri" w:hAnsi="Calibri"/>
                <w:sz w:val="22"/>
              </w:rPr>
              <w:t>Q1 2025</w:t>
            </w:r>
          </w:p>
        </w:tc>
        <w:tc>
          <w:tcPr>
            <w:tcW w:type="dxa" w:w="1440"/>
          </w:tcPr>
          <w:p>
            <w:r>
              <w:rPr>
                <w:rFonts w:ascii="Calibri" w:hAnsi="Calibri"/>
                <w:sz w:val="22"/>
              </w:rPr>
              <w:t>FFOA/share ($)</w:t>
            </w:r>
          </w:p>
        </w:tc>
        <w:tc>
          <w:tcPr>
            <w:tcW w:type="dxa" w:w="1440"/>
          </w:tcPr>
          <w:p>
            <w:r>
              <w:rPr>
                <w:rFonts w:ascii="Calibri" w:hAnsi="Calibri"/>
                <w:sz w:val="22"/>
              </w:rPr>
              <w:t>0.61</w:t>
            </w:r>
          </w:p>
        </w:tc>
        <w:tc>
          <w:tcPr>
            <w:tcW w:type="dxa" w:w="1440"/>
          </w:tcPr>
          <w:p>
            <w:r>
              <w:rPr>
                <w:rFonts w:ascii="Calibri" w:hAnsi="Calibri"/>
                <w:sz w:val="22"/>
              </w:rPr>
              <w:t>0.613</w:t>
            </w:r>
          </w:p>
        </w:tc>
        <w:tc>
          <w:tcPr>
            <w:tcW w:type="dxa" w:w="1440"/>
          </w:tcPr>
          <w:p>
            <w:r>
              <w:rPr>
                <w:rFonts w:ascii="Calibri" w:hAnsi="Calibri"/>
                <w:sz w:val="22"/>
              </w:rPr>
              <w:t>−0.5%</w:t>
            </w:r>
          </w:p>
        </w:tc>
        <w:tc>
          <w:tcPr>
            <w:tcW w:type="dxa" w:w="1440"/>
          </w:tcPr>
          <w:p>
            <w:r>
              <w:rPr>
                <w:rFonts w:ascii="Calibri" w:hAnsi="Calibri"/>
                <w:sz w:val="22"/>
              </w:rPr>
              <w:t>In Line</w:t>
            </w:r>
          </w:p>
        </w:tc>
      </w:tr>
      <w:tr>
        <w:tc>
          <w:tcPr>
            <w:tcW w:type="dxa" w:w="1440"/>
          </w:tcPr>
          <w:p>
            <w:r>
              <w:rPr>
                <w:rFonts w:ascii="Calibri" w:hAnsi="Calibri"/>
                <w:sz w:val="22"/>
              </w:rPr>
              <w:t>Q1 2025</w:t>
            </w:r>
          </w:p>
        </w:tc>
        <w:tc>
          <w:tcPr>
            <w:tcW w:type="dxa" w:w="1440"/>
          </w:tcPr>
          <w:p>
            <w:r>
              <w:rPr>
                <w:rFonts w:ascii="Calibri" w:hAnsi="Calibri"/>
                <w:sz w:val="22"/>
              </w:rPr>
              <w:t>SS Revenue Growth (%)</w:t>
            </w:r>
          </w:p>
        </w:tc>
        <w:tc>
          <w:tcPr>
            <w:tcW w:type="dxa" w:w="1440"/>
          </w:tcPr>
          <w:p>
            <w:r>
              <w:rPr>
                <w:rFonts w:ascii="Calibri" w:hAnsi="Calibri"/>
                <w:sz w:val="22"/>
              </w:rPr>
              <w:t>2.6%</w:t>
            </w:r>
          </w:p>
        </w:tc>
        <w:tc>
          <w:tcPr>
            <w:tcW w:type="dxa" w:w="1440"/>
          </w:tcPr>
          <w:p>
            <w:r>
              <w:rPr>
                <w:rFonts w:ascii="Calibri" w:hAnsi="Calibri"/>
                <w:sz w:val="22"/>
              </w:rPr>
              <w:t>2.33%</w:t>
            </w:r>
          </w:p>
        </w:tc>
        <w:tc>
          <w:tcPr>
            <w:tcW w:type="dxa" w:w="1440"/>
          </w:tcPr>
          <w:p>
            <w:r>
              <w:rPr>
                <w:rFonts w:ascii="Calibri" w:hAnsi="Calibri"/>
                <w:sz w:val="22"/>
              </w:rPr>
              <w:t>+27 bps</w:t>
            </w:r>
          </w:p>
        </w:tc>
        <w:tc>
          <w:tcPr>
            <w:tcW w:type="dxa" w:w="1440"/>
          </w:tcPr>
          <w:p>
            <w:r>
              <w:rPr>
                <w:rFonts w:ascii="Calibri" w:hAnsi="Calibri"/>
                <w:b/>
                <w:color w:val="30A46C"/>
                <w:sz w:val="22"/>
              </w:rPr>
              <w:t>Beat</w:t>
            </w:r>
          </w:p>
        </w:tc>
      </w:tr>
      <w:tr>
        <w:tc>
          <w:tcPr>
            <w:tcW w:type="dxa" w:w="1440"/>
          </w:tcPr>
          <w:p>
            <w:r>
              <w:rPr>
                <w:rFonts w:ascii="Calibri" w:hAnsi="Calibri"/>
                <w:sz w:val="22"/>
              </w:rPr>
              <w:t>Q4 2024</w:t>
            </w:r>
          </w:p>
        </w:tc>
        <w:tc>
          <w:tcPr>
            <w:tcW w:type="dxa" w:w="1440"/>
          </w:tcPr>
          <w:p>
            <w:r>
              <w:rPr>
                <w:rFonts w:ascii="Calibri" w:hAnsi="Calibri"/>
                <w:sz w:val="22"/>
              </w:rPr>
              <w:t>FFOA/share ($)</w:t>
            </w:r>
          </w:p>
        </w:tc>
        <w:tc>
          <w:tcPr>
            <w:tcW w:type="dxa" w:w="1440"/>
          </w:tcPr>
          <w:p>
            <w:r>
              <w:rPr>
                <w:rFonts w:ascii="Calibri" w:hAnsi="Calibri"/>
                <w:sz w:val="22"/>
              </w:rPr>
              <w:t>0.63</w:t>
            </w:r>
          </w:p>
        </w:tc>
        <w:tc>
          <w:tcPr>
            <w:tcW w:type="dxa" w:w="1440"/>
          </w:tcPr>
          <w:p>
            <w:r>
              <w:rPr>
                <w:rFonts w:ascii="Calibri" w:hAnsi="Calibri"/>
                <w:sz w:val="22"/>
              </w:rPr>
              <w:t>0.630</w:t>
            </w:r>
          </w:p>
        </w:tc>
        <w:tc>
          <w:tcPr>
            <w:tcW w:type="dxa" w:w="1440"/>
          </w:tcPr>
          <w:p>
            <w:r>
              <w:rPr>
                <w:rFonts w:ascii="Calibri" w:hAnsi="Calibri"/>
                <w:sz w:val="22"/>
              </w:rPr>
              <w:t>0.0%</w:t>
            </w:r>
          </w:p>
        </w:tc>
        <w:tc>
          <w:tcPr>
            <w:tcW w:type="dxa" w:w="1440"/>
          </w:tcPr>
          <w:p>
            <w:r>
              <w:rPr>
                <w:rFonts w:ascii="Calibri" w:hAnsi="Calibri"/>
                <w:sz w:val="22"/>
              </w:rPr>
              <w:t>In Line</w:t>
            </w:r>
          </w:p>
        </w:tc>
      </w:tr>
      <w:tr>
        <w:tc>
          <w:tcPr>
            <w:tcW w:type="dxa" w:w="1440"/>
          </w:tcPr>
          <w:p>
            <w:r>
              <w:rPr>
                <w:rFonts w:ascii="Calibri" w:hAnsi="Calibri"/>
                <w:sz w:val="22"/>
              </w:rPr>
              <w:t>Q4 2024</w:t>
            </w:r>
          </w:p>
        </w:tc>
        <w:tc>
          <w:tcPr>
            <w:tcW w:type="dxa" w:w="1440"/>
          </w:tcPr>
          <w:p>
            <w:r>
              <w:rPr>
                <w:rFonts w:ascii="Calibri" w:hAnsi="Calibri"/>
                <w:sz w:val="22"/>
              </w:rPr>
              <w:t>SS Revenue Growth (%)</w:t>
            </w:r>
          </w:p>
        </w:tc>
        <w:tc>
          <w:tcPr>
            <w:tcW w:type="dxa" w:w="1440"/>
          </w:tcPr>
          <w:p>
            <w:r>
              <w:rPr>
                <w:rFonts w:ascii="Calibri" w:hAnsi="Calibri"/>
                <w:sz w:val="22"/>
              </w:rPr>
              <w:t>2.5%</w:t>
            </w:r>
          </w:p>
        </w:tc>
        <w:tc>
          <w:tcPr>
            <w:tcW w:type="dxa" w:w="1440"/>
          </w:tcPr>
          <w:p>
            <w:r>
              <w:rPr>
                <w:rFonts w:ascii="Calibri" w:hAnsi="Calibri"/>
                <w:sz w:val="22"/>
              </w:rPr>
              <w:t>2.31%</w:t>
            </w:r>
          </w:p>
        </w:tc>
        <w:tc>
          <w:tcPr>
            <w:tcW w:type="dxa" w:w="1440"/>
          </w:tcPr>
          <w:p>
            <w:r>
              <w:rPr>
                <w:rFonts w:ascii="Calibri" w:hAnsi="Calibri"/>
                <w:sz w:val="22"/>
              </w:rPr>
              <w:t>+19 bps</w:t>
            </w:r>
          </w:p>
        </w:tc>
        <w:tc>
          <w:tcPr>
            <w:tcW w:type="dxa" w:w="1440"/>
          </w:tcPr>
          <w:p>
            <w:r>
              <w:rPr>
                <w:rFonts w:ascii="Calibri" w:hAnsi="Calibri"/>
                <w:b/>
                <w:color w:val="30A46C"/>
                <w:sz w:val="22"/>
              </w:rPr>
              <w:t>Beat</w:t>
            </w:r>
          </w:p>
        </w:tc>
      </w:tr>
      <w:tr>
        <w:tc>
          <w:tcPr>
            <w:tcW w:type="dxa" w:w="1440"/>
          </w:tcPr>
          <w:p>
            <w:r>
              <w:rPr>
                <w:rFonts w:ascii="Calibri" w:hAnsi="Calibri"/>
                <w:sz w:val="22"/>
              </w:rPr>
              <w:t>Q3 2024</w:t>
            </w:r>
          </w:p>
        </w:tc>
        <w:tc>
          <w:tcPr>
            <w:tcW w:type="dxa" w:w="1440"/>
          </w:tcPr>
          <w:p>
            <w:r>
              <w:rPr>
                <w:rFonts w:ascii="Calibri" w:hAnsi="Calibri"/>
                <w:sz w:val="22"/>
              </w:rPr>
              <w:t>FFOA/share ($)</w:t>
            </w:r>
          </w:p>
        </w:tc>
        <w:tc>
          <w:tcPr>
            <w:tcW w:type="dxa" w:w="1440"/>
          </w:tcPr>
          <w:p>
            <w:r>
              <w:rPr>
                <w:rFonts w:ascii="Calibri" w:hAnsi="Calibri"/>
                <w:sz w:val="22"/>
              </w:rPr>
              <w:t>0.62</w:t>
            </w:r>
          </w:p>
        </w:tc>
        <w:tc>
          <w:tcPr>
            <w:tcW w:type="dxa" w:w="1440"/>
          </w:tcPr>
          <w:p>
            <w:r>
              <w:rPr>
                <w:rFonts w:ascii="Calibri" w:hAnsi="Calibri"/>
                <w:sz w:val="22"/>
              </w:rPr>
              <w:t>0.620</w:t>
            </w:r>
          </w:p>
        </w:tc>
        <w:tc>
          <w:tcPr>
            <w:tcW w:type="dxa" w:w="1440"/>
          </w:tcPr>
          <w:p>
            <w:r>
              <w:rPr>
                <w:rFonts w:ascii="Calibri" w:hAnsi="Calibri"/>
                <w:sz w:val="22"/>
              </w:rPr>
              <w:t>0.0%</w:t>
            </w:r>
          </w:p>
        </w:tc>
        <w:tc>
          <w:tcPr>
            <w:tcW w:type="dxa" w:w="1440"/>
          </w:tcPr>
          <w:p>
            <w:r>
              <w:rPr>
                <w:rFonts w:ascii="Calibri" w:hAnsi="Calibri"/>
                <w:sz w:val="22"/>
              </w:rPr>
              <w:t>In Line</w:t>
            </w:r>
          </w:p>
        </w:tc>
      </w:tr>
      <w:tr>
        <w:tc>
          <w:tcPr>
            <w:tcW w:type="dxa" w:w="1440"/>
          </w:tcPr>
          <w:p>
            <w:r>
              <w:rPr>
                <w:rFonts w:ascii="Calibri" w:hAnsi="Calibri"/>
                <w:sz w:val="22"/>
              </w:rPr>
              <w:t>Q3 2024</w:t>
            </w:r>
          </w:p>
        </w:tc>
        <w:tc>
          <w:tcPr>
            <w:tcW w:type="dxa" w:w="1440"/>
          </w:tcPr>
          <w:p>
            <w:r>
              <w:rPr>
                <w:rFonts w:ascii="Calibri" w:hAnsi="Calibri"/>
                <w:sz w:val="22"/>
              </w:rPr>
              <w:t>SS Revenue Growth (%)</w:t>
            </w:r>
          </w:p>
        </w:tc>
        <w:tc>
          <w:tcPr>
            <w:tcW w:type="dxa" w:w="1440"/>
          </w:tcPr>
          <w:p>
            <w:r>
              <w:rPr>
                <w:rFonts w:ascii="Calibri" w:hAnsi="Calibri"/>
                <w:sz w:val="22"/>
              </w:rPr>
              <w:t>1.2%</w:t>
            </w:r>
          </w:p>
        </w:tc>
        <w:tc>
          <w:tcPr>
            <w:tcW w:type="dxa" w:w="1440"/>
          </w:tcPr>
          <w:p>
            <w:r>
              <w:rPr>
                <w:rFonts w:ascii="Calibri" w:hAnsi="Calibri"/>
                <w:sz w:val="22"/>
              </w:rPr>
              <w:t>1.48%</w:t>
            </w:r>
          </w:p>
        </w:tc>
        <w:tc>
          <w:tcPr>
            <w:tcW w:type="dxa" w:w="1440"/>
          </w:tcPr>
          <w:p>
            <w:r>
              <w:rPr>
                <w:rFonts w:ascii="Calibri" w:hAnsi="Calibri"/>
                <w:sz w:val="22"/>
              </w:rPr>
              <w:t>−28 bps</w:t>
            </w:r>
          </w:p>
        </w:tc>
        <w:tc>
          <w:tcPr>
            <w:tcW w:type="dxa" w:w="1440"/>
          </w:tcPr>
          <w:p>
            <w:r>
              <w:rPr>
                <w:rFonts w:ascii="Calibri" w:hAnsi="Calibri"/>
                <w:b/>
                <w:color w:val="E5484D"/>
                <w:sz w:val="22"/>
              </w:rPr>
              <w:t>Miss</w:t>
            </w:r>
          </w:p>
        </w:tc>
      </w:tr>
    </w:tbl>
    <w:p>
      <w:r>
        <w:rPr>
          <w:rFonts w:ascii="Calibri" w:hAnsi="Calibri"/>
          <w:i/>
          <w:color w:val="525866"/>
          <w:sz w:val="22"/>
        </w:rPr>
        <w:t xml:space="preserve">Source: Visible Alpha Consensus and Actuals Data. </w:t>
      </w:r>
      <w:r>
        <w:rPr>
          <w:rFonts w:ascii="Calibri" w:hAnsi="Calibri"/>
          <w:i/>
          <w:color w:val="525866"/>
          <w:sz w:val="22"/>
        </w:rPr>
        <w:t>Pattern: UDR has a strong track record of meeting or beating FFOA per share consensus (6 of 8 quarters in line or better), while same-store revenue has been more variable — beating in 5 of 8 quarters but missing in 2 (Q3 2024 and Q1 2026), both driven by weather or supply-related headwinds. The Q1 2026 SS revenue miss was weather-driven and management characterized it as temporary.</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Full-year 2026 guidance was maintained unchanged at the Q1 print, with the only post-earnings development being a significant expansion of the share repurchase program (May 4, 2026). Management tone remains confident — Q2 was described as “progressing according to plan” with blended lease rates tracking the 1.5–2.0% target.</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Apr 29–30)</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Q2 2026 FFOA/share ($)</w:t>
            </w:r>
          </w:p>
        </w:tc>
        <w:tc>
          <w:tcPr>
            <w:tcW w:type="dxa" w:w="1728"/>
          </w:tcPr>
          <w:p>
            <w:r>
              <w:rPr>
                <w:rFonts w:ascii="Calibri" w:hAnsi="Calibri"/>
                <w:sz w:val="22"/>
              </w:rPr>
              <w:t>$0.62–$0.64 (mid: $0.63)</w:t>
            </w:r>
          </w:p>
        </w:tc>
        <w:tc>
          <w:tcPr>
            <w:tcW w:type="dxa" w:w="1728"/>
          </w:tcPr>
          <w:p>
            <w:r>
              <w:rPr>
                <w:rFonts w:ascii="Calibri" w:hAnsi="Calibri"/>
                <w:sz w:val="22"/>
              </w:rPr>
              <w:t>—</w:t>
            </w:r>
          </w:p>
        </w:tc>
        <w:tc>
          <w:tcPr>
            <w:tcW w:type="dxa" w:w="1728"/>
          </w:tcPr>
          <w:p>
            <w:r>
              <w:rPr>
                <w:rFonts w:ascii="Calibri" w:hAnsi="Calibri"/>
                <w:sz w:val="22"/>
              </w:rPr>
              <w:t>$0.634</w:t>
            </w:r>
          </w:p>
        </w:tc>
        <w:tc>
          <w:tcPr>
            <w:tcW w:type="dxa" w:w="1728"/>
          </w:tcPr>
          <w:p>
            <w:r>
              <w:rPr>
                <w:rFonts w:ascii="Calibri" w:hAnsi="Calibri"/>
                <w:sz w:val="22"/>
              </w:rPr>
              <w:t>Unchanged; consensus +$0.004 above midpoint</w:t>
            </w:r>
          </w:p>
        </w:tc>
      </w:tr>
      <w:tr>
        <w:tc>
          <w:tcPr>
            <w:tcW w:type="dxa" w:w="1728"/>
          </w:tcPr>
          <w:p>
            <w:r>
              <w:rPr>
                <w:rFonts w:ascii="Calibri" w:hAnsi="Calibri"/>
                <w:sz w:val="22"/>
              </w:rPr>
              <w:t>Q2 2026 Blended Lease Rate</w:t>
            </w:r>
          </w:p>
        </w:tc>
        <w:tc>
          <w:tcPr>
            <w:tcW w:type="dxa" w:w="1728"/>
          </w:tcPr>
          <w:p>
            <w:r>
              <w:rPr>
                <w:rFonts w:ascii="Calibri" w:hAnsi="Calibri"/>
                <w:sz w:val="22"/>
              </w:rPr>
              <w:t>1.5%–2.0% (Q2 specific)</w:t>
            </w:r>
          </w:p>
        </w:tc>
        <w:tc>
          <w:tcPr>
            <w:tcW w:type="dxa" w:w="1728"/>
          </w:tcPr>
          <w:p>
            <w:r>
              <w:rPr>
                <w:rFonts w:ascii="Calibri" w:hAnsi="Calibri"/>
                <w:sz w:val="22"/>
              </w:rPr>
              <w:t>—</w:t>
            </w:r>
          </w:p>
        </w:tc>
        <w:tc>
          <w:tcPr>
            <w:tcW w:type="dxa" w:w="1728"/>
          </w:tcPr>
          <w:p>
            <w:r>
              <w:rPr>
                <w:rFonts w:ascii="Calibri" w:hAnsi="Calibri"/>
                <w:sz w:val="22"/>
              </w:rPr>
              <w:t>~2.20% (VA consensus)</w:t>
            </w:r>
          </w:p>
        </w:tc>
        <w:tc>
          <w:tcPr>
            <w:tcW w:type="dxa" w:w="1728"/>
          </w:tcPr>
          <w:p>
            <w:r>
              <w:rPr>
                <w:rFonts w:ascii="Calibri" w:hAnsi="Calibri"/>
                <w:sz w:val="22"/>
              </w:rPr>
              <w:t>Consensus above guidance midpoint; coastal strength driving upside</w:t>
            </w:r>
          </w:p>
        </w:tc>
      </w:tr>
      <w:tr>
        <w:tc>
          <w:tcPr>
            <w:tcW w:type="dxa" w:w="1728"/>
          </w:tcPr>
          <w:p>
            <w:r>
              <w:rPr>
                <w:rFonts w:ascii="Calibri" w:hAnsi="Calibri"/>
                <w:sz w:val="22"/>
              </w:rPr>
              <w:t>Q2 2026 Occupancy</w:t>
            </w:r>
          </w:p>
        </w:tc>
        <w:tc>
          <w:tcPr>
            <w:tcW w:type="dxa" w:w="1728"/>
          </w:tcPr>
          <w:p>
            <w:r>
              <w:rPr>
                <w:rFonts w:ascii="Calibri" w:hAnsi="Calibri"/>
                <w:sz w:val="22"/>
              </w:rPr>
              <w:t>Mid-96% range</w:t>
            </w:r>
          </w:p>
        </w:tc>
        <w:tc>
          <w:tcPr>
            <w:tcW w:type="dxa" w:w="1728"/>
          </w:tcPr>
          <w:p>
            <w:r>
              <w:rPr>
                <w:rFonts w:ascii="Calibri" w:hAnsi="Calibri"/>
                <w:sz w:val="22"/>
              </w:rPr>
              <w:t>—</w:t>
            </w:r>
          </w:p>
        </w:tc>
        <w:tc>
          <w:tcPr>
            <w:tcW w:type="dxa" w:w="1728"/>
          </w:tcPr>
          <w:p>
            <w:r>
              <w:rPr>
                <w:rFonts w:ascii="Calibri" w:hAnsi="Calibri"/>
                <w:sz w:val="22"/>
              </w:rPr>
              <w:t>96.6%</w:t>
            </w:r>
          </w:p>
        </w:tc>
        <w:tc>
          <w:tcPr>
            <w:tcW w:type="dxa" w:w="1728"/>
          </w:tcPr>
          <w:p>
            <w:r>
              <w:rPr>
                <w:rFonts w:ascii="Calibri" w:hAnsi="Calibri"/>
                <w:sz w:val="22"/>
              </w:rPr>
              <w:t>In line with guidance; strategy to allow slight dip to push rents in peak season</w:t>
            </w:r>
          </w:p>
        </w:tc>
      </w:tr>
      <w:tr>
        <w:tc>
          <w:tcPr>
            <w:tcW w:type="dxa" w:w="1728"/>
          </w:tcPr>
          <w:p>
            <w:r>
              <w:rPr>
                <w:rFonts w:ascii="Calibri" w:hAnsi="Calibri"/>
                <w:sz w:val="22"/>
              </w:rPr>
              <w:t>FY 2026 FFOA/share ($)</w:t>
            </w:r>
          </w:p>
        </w:tc>
        <w:tc>
          <w:tcPr>
            <w:tcW w:type="dxa" w:w="1728"/>
          </w:tcPr>
          <w:p>
            <w:r>
              <w:rPr>
                <w:rFonts w:ascii="Calibri" w:hAnsi="Calibri"/>
                <w:sz w:val="22"/>
              </w:rPr>
              <w:t>$2.47–$2.57 (mid: $2.52)</w:t>
            </w:r>
          </w:p>
        </w:tc>
        <w:tc>
          <w:tcPr>
            <w:tcW w:type="dxa" w:w="1728"/>
          </w:tcPr>
          <w:p>
            <w:r>
              <w:rPr>
                <w:rFonts w:ascii="Calibri" w:hAnsi="Calibri"/>
                <w:sz w:val="22"/>
              </w:rPr>
              <w:t>—</w:t>
            </w:r>
          </w:p>
        </w:tc>
        <w:tc>
          <w:tcPr>
            <w:tcW w:type="dxa" w:w="1728"/>
          </w:tcPr>
          <w:p>
            <w:r>
              <w:rPr>
                <w:rFonts w:ascii="Calibri" w:hAnsi="Calibri"/>
                <w:sz w:val="22"/>
              </w:rPr>
              <w:t>$2.533</w:t>
            </w:r>
          </w:p>
        </w:tc>
        <w:tc>
          <w:tcPr>
            <w:tcW w:type="dxa" w:w="1728"/>
          </w:tcPr>
          <w:p>
            <w:r>
              <w:rPr>
                <w:rFonts w:ascii="Calibri" w:hAnsi="Calibri"/>
                <w:sz w:val="22"/>
              </w:rPr>
              <w:t>Unchanged; consensus +$0.013 above midpoint</w:t>
            </w:r>
          </w:p>
        </w:tc>
      </w:tr>
      <w:tr>
        <w:tc>
          <w:tcPr>
            <w:tcW w:type="dxa" w:w="1728"/>
          </w:tcPr>
          <w:p>
            <w:r>
              <w:rPr>
                <w:rFonts w:ascii="Calibri" w:hAnsi="Calibri"/>
                <w:sz w:val="22"/>
              </w:rPr>
              <w:t>FY 2026 SS Revenue Growth</w:t>
            </w:r>
          </w:p>
        </w:tc>
        <w:tc>
          <w:tcPr>
            <w:tcW w:type="dxa" w:w="1728"/>
          </w:tcPr>
          <w:p>
            <w:r>
              <w:rPr>
                <w:rFonts w:ascii="Calibri" w:hAnsi="Calibri"/>
                <w:sz w:val="22"/>
              </w:rPr>
              <w:t>0.25%–2.25% (mid: 1.25%)</w:t>
            </w:r>
          </w:p>
        </w:tc>
        <w:tc>
          <w:tcPr>
            <w:tcW w:type="dxa" w:w="1728"/>
          </w:tcPr>
          <w:p>
            <w:r>
              <w:rPr>
                <w:rFonts w:ascii="Calibri" w:hAnsi="Calibri"/>
                <w:sz w:val="22"/>
              </w:rPr>
              <w:t>—</w:t>
            </w:r>
          </w:p>
        </w:tc>
        <w:tc>
          <w:tcPr>
            <w:tcW w:type="dxa" w:w="1728"/>
          </w:tcPr>
          <w:p>
            <w:r>
              <w:rPr>
                <w:rFonts w:ascii="Calibri" w:hAnsi="Calibri"/>
                <w:sz w:val="22"/>
              </w:rPr>
              <w:t>1.22%</w:t>
            </w:r>
          </w:p>
        </w:tc>
        <w:tc>
          <w:tcPr>
            <w:tcW w:type="dxa" w:w="1728"/>
          </w:tcPr>
          <w:p>
            <w:r>
              <w:rPr>
                <w:rFonts w:ascii="Calibri" w:hAnsi="Calibri"/>
                <w:sz w:val="22"/>
              </w:rPr>
              <w:t>Unchanged; consensus just below midpoint</w:t>
            </w:r>
          </w:p>
        </w:tc>
      </w:tr>
      <w:tr>
        <w:tc>
          <w:tcPr>
            <w:tcW w:type="dxa" w:w="1728"/>
          </w:tcPr>
          <w:p>
            <w:r>
              <w:rPr>
                <w:rFonts w:ascii="Calibri" w:hAnsi="Calibri"/>
                <w:sz w:val="22"/>
              </w:rPr>
              <w:t>FY 2026 SS Expense Growth</w:t>
            </w:r>
          </w:p>
        </w:tc>
        <w:tc>
          <w:tcPr>
            <w:tcW w:type="dxa" w:w="1728"/>
          </w:tcPr>
          <w:p>
            <w:r>
              <w:rPr>
                <w:rFonts w:ascii="Calibri" w:hAnsi="Calibri"/>
                <w:sz w:val="22"/>
              </w:rPr>
              <w:t>3.0%–4.5% (mid: 3.75%)</w:t>
            </w:r>
          </w:p>
        </w:tc>
        <w:tc>
          <w:tcPr>
            <w:tcW w:type="dxa" w:w="1728"/>
          </w:tcPr>
          <w:p>
            <w:r>
              <w:rPr>
                <w:rFonts w:ascii="Calibri" w:hAnsi="Calibri"/>
                <w:sz w:val="22"/>
              </w:rPr>
              <w:t>—</w:t>
            </w:r>
          </w:p>
        </w:tc>
        <w:tc>
          <w:tcPr>
            <w:tcW w:type="dxa" w:w="1728"/>
          </w:tcPr>
          <w:p>
            <w:r>
              <w:rPr>
                <w:rFonts w:ascii="Calibri" w:hAnsi="Calibri"/>
                <w:sz w:val="22"/>
              </w:rPr>
              <w:t>3.78%</w:t>
            </w:r>
          </w:p>
        </w:tc>
        <w:tc>
          <w:tcPr>
            <w:tcW w:type="dxa" w:w="1728"/>
          </w:tcPr>
          <w:p>
            <w:r>
              <w:rPr>
                <w:rFonts w:ascii="Calibri" w:hAnsi="Calibri"/>
                <w:sz w:val="22"/>
              </w:rPr>
              <w:t>Unchanged; consensus at midpoint</w:t>
            </w:r>
          </w:p>
        </w:tc>
      </w:tr>
      <w:tr>
        <w:tc>
          <w:tcPr>
            <w:tcW w:type="dxa" w:w="1728"/>
          </w:tcPr>
          <w:p>
            <w:r>
              <w:rPr>
                <w:rFonts w:ascii="Calibri" w:hAnsi="Calibri"/>
                <w:sz w:val="22"/>
              </w:rPr>
              <w:t>FY 2026 SS NOI Growth</w:t>
            </w:r>
          </w:p>
        </w:tc>
        <w:tc>
          <w:tcPr>
            <w:tcW w:type="dxa" w:w="1728"/>
          </w:tcPr>
          <w:p>
            <w:r>
              <w:rPr>
                <w:rFonts w:ascii="Calibri" w:hAnsi="Calibri"/>
                <w:sz w:val="22"/>
              </w:rPr>
              <w:t>−1.0%–1.25% (mid: 0.125%)</w:t>
            </w:r>
          </w:p>
        </w:tc>
        <w:tc>
          <w:tcPr>
            <w:tcW w:type="dxa" w:w="1728"/>
          </w:tcPr>
          <w:p>
            <w:r>
              <w:rPr>
                <w:rFonts w:ascii="Calibri" w:hAnsi="Calibri"/>
                <w:sz w:val="22"/>
              </w:rPr>
              <w:t>—</w:t>
            </w:r>
          </w:p>
        </w:tc>
        <w:tc>
          <w:tcPr>
            <w:tcW w:type="dxa" w:w="1728"/>
          </w:tcPr>
          <w:p>
            <w:r>
              <w:rPr>
                <w:rFonts w:ascii="Calibri" w:hAnsi="Calibri"/>
                <w:sz w:val="22"/>
              </w:rPr>
              <w:t>−0.05%</w:t>
            </w:r>
          </w:p>
        </w:tc>
        <w:tc>
          <w:tcPr>
            <w:tcW w:type="dxa" w:w="1728"/>
          </w:tcPr>
          <w:p>
            <w:r>
              <w:rPr>
                <w:rFonts w:ascii="Calibri" w:hAnsi="Calibri"/>
                <w:sz w:val="22"/>
              </w:rPr>
              <w:t>Unchanged; consensus slightly below midpoint</w:t>
            </w:r>
          </w:p>
        </w:tc>
      </w:tr>
      <w:tr>
        <w:tc>
          <w:tcPr>
            <w:tcW w:type="dxa" w:w="1728"/>
          </w:tcPr>
          <w:p>
            <w:r>
              <w:rPr>
                <w:rFonts w:ascii="Calibri" w:hAnsi="Calibri"/>
                <w:sz w:val="22"/>
              </w:rPr>
              <w:t>Share Repurchase Program</w:t>
            </w:r>
          </w:p>
        </w:tc>
        <w:tc>
          <w:tcPr>
            <w:tcW w:type="dxa" w:w="1728"/>
          </w:tcPr>
          <w:p>
            <w:r>
              <w:rPr>
                <w:rFonts w:ascii="Calibri" w:hAnsi="Calibri"/>
                <w:sz w:val="22"/>
              </w:rPr>
              <w:t>~5M shares remaining (pre-May 4)</w:t>
            </w:r>
          </w:p>
        </w:tc>
        <w:tc>
          <w:tcPr>
            <w:tcW w:type="dxa" w:w="1728"/>
          </w:tcPr>
          <w:p>
            <w:r>
              <w:rPr>
                <w:rFonts w:ascii="Calibri" w:hAnsi="Calibri"/>
                <w:sz w:val="22"/>
              </w:rPr>
              <w:t>Expanded by 25M shares (May 4, 2026 — 8-K)</w:t>
            </w:r>
          </w:p>
        </w:tc>
        <w:tc>
          <w:tcPr>
            <w:tcW w:type="dxa" w:w="1728"/>
          </w:tcPr>
          <w:p>
            <w:r>
              <w:rPr>
                <w:rFonts w:ascii="Calibri" w:hAnsi="Calibri"/>
                <w:sz w:val="22"/>
              </w:rPr>
              <w:t>~$1B+ capacity at current price</w:t>
            </w:r>
          </w:p>
        </w:tc>
        <w:tc>
          <w:tcPr>
            <w:tcW w:type="dxa" w:w="1728"/>
          </w:tcPr>
          <w:p>
            <w:r>
              <w:rPr>
                <w:rFonts w:ascii="Calibri" w:hAnsi="Calibri"/>
                <w:sz w:val="22"/>
              </w:rPr>
              <w:t>↑ Expanded post-earnings; signals continued confidence in NAV discount opportunity</w:t>
            </w:r>
          </w:p>
        </w:tc>
      </w:tr>
    </w:tbl>
    <w:p>
      <w:r>
        <w:rPr>
          <w:rFonts w:ascii="Calibri" w:hAnsi="Calibri"/>
          <w:i/>
          <w:color w:val="525866"/>
          <w:sz w:val="22"/>
        </w:rPr>
        <w:t>Source: UDR Q1 2026 Earnings Release and Conference Call (April 29–30, 2026); UDR 8-K filed May 4, 2026; Visible Alpha Consensus Data.</w:t>
      </w:r>
    </w:p>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Estimates have been broadly stable since the Q1 print, with FFOA per share for Q2 drifting only ~$0.003 lower and FY 2026 estimates essentially flat. Same-store revenue estimates have ticked down modestly (~6 bps for Q2, ~27 bps for FY), suggesting the Street has not yet credited the coastal acceleration visible in peer data — this creates a potential cushion for upside if UDR’s coastal markets continue to outperform.</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(May 6, 2026)</w:t>
            </w:r>
          </w:p>
        </w:tc>
        <w:tc>
          <w:tcPr>
            <w:tcW w:type="dxa" w:w="1080"/>
            <w:shd w:val="clear" w:color="auto" w:fill="3B4259"/>
          </w:tcPr>
          <w:p>
            <w:r>
              <w:rPr>
                <w:rFonts w:ascii="Calibri" w:hAnsi="Calibri"/>
                <w:b/>
                <w:color w:val="FFFFFF"/>
                <w:sz w:val="22"/>
              </w:rPr>
              <w:t>Current Consensus (Jul 26,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FFOA/share — Q2 2026</w:t>
            </w:r>
          </w:p>
        </w:tc>
        <w:tc>
          <w:tcPr>
            <w:tcW w:type="dxa" w:w="1080"/>
          </w:tcPr>
          <w:p>
            <w:r>
              <w:rPr>
                <w:rFonts w:ascii="Calibri" w:hAnsi="Calibri"/>
                <w:sz w:val="22"/>
              </w:rPr>
              <w:t>$0.636</w:t>
            </w:r>
          </w:p>
        </w:tc>
        <w:tc>
          <w:tcPr>
            <w:tcW w:type="dxa" w:w="1080"/>
          </w:tcPr>
          <w:p>
            <w:r>
              <w:rPr>
                <w:rFonts w:ascii="Calibri" w:hAnsi="Calibri"/>
                <w:sz w:val="22"/>
              </w:rPr>
              <w:t>$0.634</w:t>
            </w:r>
          </w:p>
        </w:tc>
        <w:tc>
          <w:tcPr>
            <w:tcW w:type="dxa" w:w="1080"/>
          </w:tcPr>
          <w:p>
            <w:r>
              <w:rPr>
                <w:rFonts w:ascii="Calibri" w:hAnsi="Calibri"/>
                <w:sz w:val="22"/>
              </w:rPr>
              <w:t>−0.3%</w:t>
            </w:r>
          </w:p>
        </w:tc>
        <w:tc>
          <w:tcPr>
            <w:tcW w:type="dxa" w:w="1080"/>
          </w:tcPr>
          <w:p>
            <w:r>
              <w:rPr>
                <w:rFonts w:ascii="Calibri" w:hAnsi="Calibri"/>
                <w:sz w:val="22"/>
              </w:rPr>
              <w:t>$0.62–$0.64 (mid: $0.63)</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+0.6% above mid</w:t>
            </w:r>
          </w:p>
        </w:tc>
      </w:tr>
      <w:tr>
        <w:tc>
          <w:tcPr>
            <w:tcW w:type="dxa" w:w="1080"/>
          </w:tcPr>
          <w:p>
            <w:r>
              <w:rPr>
                <w:rFonts w:ascii="Calibri" w:hAnsi="Calibri"/>
                <w:sz w:val="22"/>
              </w:rPr>
              <w:t>FFOA/share — FY 2026</w:t>
            </w:r>
          </w:p>
        </w:tc>
        <w:tc>
          <w:tcPr>
            <w:tcW w:type="dxa" w:w="1080"/>
          </w:tcPr>
          <w:p>
            <w:r>
              <w:rPr>
                <w:rFonts w:ascii="Calibri" w:hAnsi="Calibri"/>
                <w:sz w:val="22"/>
              </w:rPr>
              <w:t>$2.548</w:t>
            </w:r>
          </w:p>
        </w:tc>
        <w:tc>
          <w:tcPr>
            <w:tcW w:type="dxa" w:w="1080"/>
          </w:tcPr>
          <w:p>
            <w:r>
              <w:rPr>
                <w:rFonts w:ascii="Calibri" w:hAnsi="Calibri"/>
                <w:sz w:val="22"/>
              </w:rPr>
              <w:t>$2.533</w:t>
            </w:r>
          </w:p>
        </w:tc>
        <w:tc>
          <w:tcPr>
            <w:tcW w:type="dxa" w:w="1080"/>
          </w:tcPr>
          <w:p>
            <w:r>
              <w:rPr>
                <w:rFonts w:ascii="Calibri" w:hAnsi="Calibri"/>
                <w:sz w:val="22"/>
              </w:rPr>
              <w:t>−0.6%</w:t>
            </w:r>
          </w:p>
        </w:tc>
        <w:tc>
          <w:tcPr>
            <w:tcW w:type="dxa" w:w="1080"/>
          </w:tcPr>
          <w:p>
            <w:r>
              <w:rPr>
                <w:rFonts w:ascii="Calibri" w:hAnsi="Calibri"/>
                <w:sz w:val="22"/>
              </w:rPr>
              <w:t>$2.47–$2.57 (mid: $2.52)</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+0.5% above mid</w:t>
            </w:r>
          </w:p>
        </w:tc>
      </w:tr>
      <w:tr>
        <w:tc>
          <w:tcPr>
            <w:tcW w:type="dxa" w:w="1080"/>
          </w:tcPr>
          <w:p>
            <w:r>
              <w:rPr>
                <w:rFonts w:ascii="Calibri" w:hAnsi="Calibri"/>
                <w:sz w:val="22"/>
              </w:rPr>
              <w:t>SS Revenue Growth — Q2 2026</w:t>
            </w:r>
          </w:p>
        </w:tc>
        <w:tc>
          <w:tcPr>
            <w:tcW w:type="dxa" w:w="1080"/>
          </w:tcPr>
          <w:p>
            <w:r>
              <w:rPr>
                <w:rFonts w:ascii="Calibri" w:hAnsi="Calibri"/>
                <w:sz w:val="22"/>
              </w:rPr>
              <w:t>1.04%</w:t>
            </w:r>
          </w:p>
        </w:tc>
        <w:tc>
          <w:tcPr>
            <w:tcW w:type="dxa" w:w="1080"/>
          </w:tcPr>
          <w:p>
            <w:r>
              <w:rPr>
                <w:rFonts w:ascii="Calibri" w:hAnsi="Calibri"/>
                <w:sz w:val="22"/>
              </w:rPr>
              <w:t>0.97%</w:t>
            </w:r>
          </w:p>
        </w:tc>
        <w:tc>
          <w:tcPr>
            <w:tcW w:type="dxa" w:w="1080"/>
          </w:tcPr>
          <w:p>
            <w:r>
              <w:rPr>
                <w:rFonts w:ascii="Calibri" w:hAnsi="Calibri"/>
                <w:sz w:val="22"/>
              </w:rPr>
              <w:t>−6.7%</w:t>
            </w:r>
          </w:p>
        </w:tc>
        <w:tc>
          <w:tcPr>
            <w:tcW w:type="dxa" w:w="1080"/>
          </w:tcPr>
          <w:p>
            <w:r>
              <w:rPr>
                <w:rFonts w:ascii="Calibri" w:hAnsi="Calibri"/>
                <w:sz w:val="22"/>
              </w:rPr>
              <w:t>FY: 0.25%–2.25% (mid: 1.25%)</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N/A (FY guidance only)</w:t>
            </w:r>
          </w:p>
        </w:tc>
      </w:tr>
      <w:tr>
        <w:tc>
          <w:tcPr>
            <w:tcW w:type="dxa" w:w="1080"/>
          </w:tcPr>
          <w:p>
            <w:r>
              <w:rPr>
                <w:rFonts w:ascii="Calibri" w:hAnsi="Calibri"/>
                <w:sz w:val="22"/>
              </w:rPr>
              <w:t>SS Revenue Growth — FY 2026</w:t>
            </w:r>
          </w:p>
        </w:tc>
        <w:tc>
          <w:tcPr>
            <w:tcW w:type="dxa" w:w="1080"/>
          </w:tcPr>
          <w:p>
            <w:r>
              <w:rPr>
                <w:rFonts w:ascii="Calibri" w:hAnsi="Calibri"/>
                <w:sz w:val="22"/>
              </w:rPr>
              <w:t>1.49%</w:t>
            </w:r>
          </w:p>
        </w:tc>
        <w:tc>
          <w:tcPr>
            <w:tcW w:type="dxa" w:w="1080"/>
          </w:tcPr>
          <w:p>
            <w:r>
              <w:rPr>
                <w:rFonts w:ascii="Calibri" w:hAnsi="Calibri"/>
                <w:sz w:val="22"/>
              </w:rPr>
              <w:t>1.22%</w:t>
            </w:r>
          </w:p>
        </w:tc>
        <w:tc>
          <w:tcPr>
            <w:tcW w:type="dxa" w:w="1080"/>
          </w:tcPr>
          <w:p>
            <w:r>
              <w:rPr>
                <w:rFonts w:ascii="Calibri" w:hAnsi="Calibri"/>
                <w:sz w:val="22"/>
              </w:rPr>
              <w:t>−18.1%</w:t>
            </w:r>
          </w:p>
        </w:tc>
        <w:tc>
          <w:tcPr>
            <w:tcW w:type="dxa" w:w="1080"/>
          </w:tcPr>
          <w:p>
            <w:r>
              <w:rPr>
                <w:rFonts w:ascii="Calibri" w:hAnsi="Calibri"/>
                <w:sz w:val="22"/>
              </w:rPr>
              <w:t>0.25%–2.25% (mid: 1.25%)</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−2.4% below mid</w:t>
            </w:r>
          </w:p>
        </w:tc>
      </w:tr>
      <w:tr>
        <w:tc>
          <w:tcPr>
            <w:tcW w:type="dxa" w:w="1080"/>
          </w:tcPr>
          <w:p>
            <w:r>
              <w:rPr>
                <w:rFonts w:ascii="Calibri" w:hAnsi="Calibri"/>
                <w:sz w:val="22"/>
              </w:rPr>
              <w:t>SS NOI Growth — Q2 2026</w:t>
            </w:r>
          </w:p>
        </w:tc>
        <w:tc>
          <w:tcPr>
            <w:tcW w:type="dxa" w:w="1080"/>
          </w:tcPr>
          <w:p>
            <w:r>
              <w:rPr>
                <w:rFonts w:ascii="Calibri" w:hAnsi="Calibri"/>
                <w:sz w:val="22"/>
              </w:rPr>
              <w:t>−0.31%</w:t>
            </w:r>
          </w:p>
        </w:tc>
        <w:tc>
          <w:tcPr>
            <w:tcW w:type="dxa" w:w="1080"/>
          </w:tcPr>
          <w:p>
            <w:r>
              <w:rPr>
                <w:rFonts w:ascii="Calibri" w:hAnsi="Calibri"/>
                <w:sz w:val="22"/>
              </w:rPr>
              <w:t>−0.30%</w:t>
            </w:r>
          </w:p>
        </w:tc>
        <w:tc>
          <w:tcPr>
            <w:tcW w:type="dxa" w:w="1080"/>
          </w:tcPr>
          <w:p>
            <w:r>
              <w:rPr>
                <w:rFonts w:ascii="Calibri" w:hAnsi="Calibri"/>
                <w:sz w:val="22"/>
              </w:rPr>
              <w:t>+0.3%</w:t>
            </w:r>
          </w:p>
        </w:tc>
        <w:tc>
          <w:tcPr>
            <w:tcW w:type="dxa" w:w="1080"/>
          </w:tcPr>
          <w:p>
            <w:r>
              <w:rPr>
                <w:rFonts w:ascii="Calibri" w:hAnsi="Calibri"/>
                <w:sz w:val="22"/>
              </w:rPr>
              <w:t>FY: −1.0%–1.25% (mid: 0.125%)</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N/A (FY guidance only)</w:t>
            </w:r>
          </w:p>
        </w:tc>
      </w:tr>
      <w:tr>
        <w:tc>
          <w:tcPr>
            <w:tcW w:type="dxa" w:w="1080"/>
          </w:tcPr>
          <w:p>
            <w:r>
              <w:rPr>
                <w:rFonts w:ascii="Calibri" w:hAnsi="Calibri"/>
                <w:sz w:val="22"/>
              </w:rPr>
              <w:t>SS NOI Growth — FY 2026</w:t>
            </w:r>
          </w:p>
        </w:tc>
        <w:tc>
          <w:tcPr>
            <w:tcW w:type="dxa" w:w="1080"/>
          </w:tcPr>
          <w:p>
            <w:r>
              <w:rPr>
                <w:rFonts w:ascii="Calibri" w:hAnsi="Calibri"/>
                <w:sz w:val="22"/>
              </w:rPr>
              <w:t>+0.47%</w:t>
            </w:r>
          </w:p>
        </w:tc>
        <w:tc>
          <w:tcPr>
            <w:tcW w:type="dxa" w:w="1080"/>
          </w:tcPr>
          <w:p>
            <w:r>
              <w:rPr>
                <w:rFonts w:ascii="Calibri" w:hAnsi="Calibri"/>
                <w:sz w:val="22"/>
              </w:rPr>
              <w:t>−0.05%</w:t>
            </w:r>
          </w:p>
        </w:tc>
        <w:tc>
          <w:tcPr>
            <w:tcW w:type="dxa" w:w="1080"/>
          </w:tcPr>
          <w:p>
            <w:r>
              <w:rPr>
                <w:rFonts w:ascii="Calibri" w:hAnsi="Calibri"/>
                <w:sz w:val="22"/>
              </w:rPr>
              <w:t>N/M</w:t>
            </w:r>
          </w:p>
        </w:tc>
        <w:tc>
          <w:tcPr>
            <w:tcW w:type="dxa" w:w="1080"/>
          </w:tcPr>
          <w:p>
            <w:r>
              <w:rPr>
                <w:rFonts w:ascii="Calibri" w:hAnsi="Calibri"/>
                <w:sz w:val="22"/>
              </w:rPr>
              <w:t>−1.0%–1.25% (mid: 0.125%)</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−14% below mid</w:t>
            </w:r>
          </w:p>
        </w:tc>
      </w:tr>
    </w:tbl>
    <w:p>
      <w:r>
        <w:rPr>
          <w:rFonts w:ascii="Calibri" w:hAnsi="Calibri"/>
          <w:i/>
          <w:color w:val="525866"/>
          <w:sz w:val="22"/>
        </w:rPr>
        <w:t xml:space="preserve">Source: Visible Alpha Consensus and Actuals Data (as-of date May 6, 2026 and current). </w:t>
      </w:r>
      <w:r>
        <w:rPr>
          <w:rFonts w:ascii="Calibri" w:hAnsi="Calibri"/>
          <w:i/>
          <w:color w:val="525866"/>
          <w:sz w:val="22"/>
        </w:rPr>
        <w:t>The notable divergence is in FY 2026 SS NOI growth, where estimates have drifted from +0.47% (post-Q1 baseline) to −0.05% currently — well below the guidance midpoint of +0.125%. This likely reflects the Street pricing in continued Sunbelt softness; if coastal markets continue to outperform and Sunbelt stabilizes as management expects, there is meaningful upside to FY NOI estimates.</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UDR has outperformed both XLRE and the S&amp;P 500 since the Q1 earnings date, with the +9.5% gain driven primarily by </w:t>
      </w:r>
      <w:r>
        <w:rPr>
          <w:rFonts w:ascii="Calibri" w:hAnsi="Calibri"/>
          <w:b/>
          <w:color w:val="525866"/>
          <w:sz w:val="22"/>
        </w:rPr>
        <w:t>multiple expansion</w:t>
      </w:r>
      <w:r>
        <w:rPr>
          <w:rFonts w:ascii="Calibri" w:hAnsi="Calibri"/>
          <w:color w:val="525866"/>
          <w:sz w:val="22"/>
        </w:rPr>
        <w:t xml:space="preserve"> (EV/EBITDA expanded from ~17.2x to ~18.5x over 3 months) rather than estimate revisions, which have been flat to slightly negative. The stock’s re-rating reflects improving sector sentiment and the share repurchase program announcement, but the premium to recent history suggests limited room for further multiple expansion without a guidance raise.</w:t>
      </w:r>
    </w:p>
    <w:p>
      <w:r>
        <w:drawing>
          <wp:inline xmlns:a="http://schemas.openxmlformats.org/drawingml/2006/main" xmlns:pic="http://schemas.openxmlformats.org/drawingml/2006/picture">
            <wp:extent cx="4572000" cy="3265714"/>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4572000" cy="3265714"/>
                    </a:xfrm>
                    <a:prstGeom prst="rect"/>
                  </pic:spPr>
                </pic:pic>
              </a:graphicData>
            </a:graphic>
          </wp:inline>
        </w:drawing>
      </w:r>
    </w:p>
    <w:p>
      <w:pPr>
        <w:jc w:val="center"/>
      </w:pPr>
      <w:r>
        <w:rPr>
          <w:i/>
          <w:color w:val="666666"/>
          <w:sz w:val="18"/>
        </w:rPr>
        <w:t>UDR vs. XLRE (Real Estate Select Sector ETF) vs. S&amp;P 500 — Indexed to 100 at April 29, 2026 (Q1 2026 Earnings Date). UDR: +9.5%; XLRE: +5.3%; S&amp;P 500: +3.8%. Source: Yahoo Finance / Stock Price Data.</w:t>
      </w:r>
    </w:p>
    <w:p>
      <w:r>
        <w:rPr>
          <w:rFonts w:ascii="Calibri" w:hAnsi="Calibri"/>
          <w:i/>
          <w:color w:val="525866"/>
          <w:sz w:val="22"/>
        </w:rPr>
        <w:t>Sector ETF used: XLRE (Real Estate Select Sector SPDR Fund), which tracks the S&amp;P 500 Real Estate sector and is the most appropriate benchmark for UDR’s residential REIT sub-sector. Key events marked: May 4 share repurchase expansion (+25M shares authorized); June 5 CEO open-market sale (80,000 shares). Source: Stock Price Data (Yahoo Finance); FRED Nasdaq US Benchmark Residential REITs Total Return Index.</w:t>
      </w:r>
    </w:p>
    <w:p>
      <w:r>
        <w:br w:type="page"/>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 xml:space="preserve">The most important post-Q1 development is the </w:t>
      </w:r>
      <w:r>
        <w:rPr>
          <w:rFonts w:ascii="Calibri" w:hAnsi="Calibri"/>
          <w:b/>
          <w:color w:val="525866"/>
          <w:sz w:val="22"/>
        </w:rPr>
        <w:t>25-million-share repurchase expansion (May 4)</w:t>
      </w:r>
      <w:r>
        <w:rPr>
          <w:rFonts w:ascii="Calibri" w:hAnsi="Calibri"/>
          <w:color w:val="525866"/>
          <w:sz w:val="22"/>
        </w:rPr>
        <w:t>, which signals management’s continued conviction that the stock trades at a meaningful discount to NAV and provides a significant capital return lever heading into Q2 results. The AVB/EQR merger announcement is the most consequential industry development, reshaping the competitive landscape.</w:t>
      </w:r>
    </w:p>
    <w:p>
      <w:pPr>
        <w:pStyle w:val="ListBullet"/>
        <w:ind w:left="360" w:hanging="360"/>
      </w:pPr>
      <w:r>
        <w:rPr>
          <w:rFonts w:ascii="Calibri" w:hAnsi="Calibri"/>
          <w:b/>
          <w:color w:val="525866"/>
          <w:sz w:val="22"/>
        </w:rPr>
        <w:t>May 4, 2026 — UDR Expands Share Repurchase Program by 25 Million Shares (8-K).</w:t>
      </w:r>
      <w:r>
        <w:rPr>
          <w:rFonts w:ascii="Calibri" w:hAnsi="Calibri"/>
          <w:color w:val="525866"/>
          <w:sz w:val="22"/>
        </w:rPr>
        <w:t xml:space="preserve"> Board authorized an additional 25M shares (~$1B+ at current prices), bringing total capacity to ~30M shares. Since recommencing buybacks in September 2025, UDR has repurchased ~$268M of stock. </w:t>
      </w:r>
      <w:r>
        <w:rPr>
          <w:rFonts w:ascii="Calibri" w:hAnsi="Calibri"/>
          <w:b/>
          <w:color w:val="525866"/>
          <w:sz w:val="22"/>
        </w:rPr>
        <w:t>Implication:</w:t>
      </w:r>
      <w:r>
        <w:rPr>
          <w:rFonts w:ascii="Calibri" w:hAnsi="Calibri"/>
          <w:color w:val="525866"/>
          <w:sz w:val="22"/>
        </w:rPr>
        <w:t xml:space="preserve"> Signals strong management conviction in NAV discount; accretive to FFOA per share and supports the stock floor. Expect Q2 call to provide updated repurchase activity figures.</w:t>
      </w:r>
    </w:p>
    <w:p>
      <w:pPr>
        <w:pStyle w:val="ListBullet"/>
        <w:ind w:left="360" w:hanging="360"/>
      </w:pPr>
      <w:r>
        <w:rPr>
          <w:rFonts w:ascii="Calibri" w:hAnsi="Calibri"/>
          <w:b/>
          <w:color w:val="525866"/>
          <w:sz w:val="22"/>
        </w:rPr>
        <w:t>April 29, 2026 — Monthly Dividend Transition Announced.</w:t>
      </w:r>
      <w:r>
        <w:rPr>
          <w:rFonts w:ascii="Calibri" w:hAnsi="Calibri"/>
          <w:color w:val="525866"/>
          <w:sz w:val="22"/>
        </w:rPr>
        <w:t xml:space="preserve"> UDR became the first residential REIT to transition to monthly dividends, declaring $0.145/share per month for Q2 2026 ($1.74 annualized). </w:t>
      </w:r>
      <w:r>
        <w:rPr>
          <w:rFonts w:ascii="Calibri" w:hAnsi="Calibri"/>
          <w:b/>
          <w:color w:val="525866"/>
          <w:sz w:val="22"/>
        </w:rPr>
        <w:t>Implication:</w:t>
      </w:r>
      <w:r>
        <w:rPr>
          <w:rFonts w:ascii="Calibri" w:hAnsi="Calibri"/>
          <w:color w:val="525866"/>
          <w:sz w:val="22"/>
        </w:rPr>
        <w:t xml:space="preserve"> Strategic move to attract high-net-worth, family office, and retail investors; broadens capital access over time. Near-term impact on stock is modest but positive for sentiment.</w:t>
      </w:r>
    </w:p>
    <w:p>
      <w:pPr>
        <w:pStyle w:val="ListBullet"/>
        <w:ind w:left="360" w:hanging="360"/>
      </w:pPr>
      <w:r>
        <w:rPr>
          <w:rFonts w:ascii="Calibri" w:hAnsi="Calibri"/>
          <w:b/>
          <w:color w:val="525866"/>
          <w:sz w:val="22"/>
        </w:rPr>
        <w:t>April 29, 2026 — Portland Acquisition (232-unit community).</w:t>
      </w:r>
      <w:r>
        <w:rPr>
          <w:rFonts w:ascii="Calibri" w:hAnsi="Calibri"/>
          <w:color w:val="525866"/>
          <w:sz w:val="22"/>
        </w:rPr>
        <w:t xml:space="preserve"> UDR acquired a 232-apartment community in Portland, OR (previously in D&amp;PE program) at a high-5% stabilized yield with low CapEx needs. A second Portland acquisition is expected in coming months. </w:t>
      </w:r>
      <w:r>
        <w:rPr>
          <w:rFonts w:ascii="Calibri" w:hAnsi="Calibri"/>
          <w:b/>
          <w:color w:val="525866"/>
          <w:sz w:val="22"/>
        </w:rPr>
        <w:t>Implication:</w:t>
      </w:r>
      <w:r>
        <w:rPr>
          <w:rFonts w:ascii="Calibri" w:hAnsi="Calibri"/>
          <w:color w:val="525866"/>
          <w:sz w:val="22"/>
        </w:rPr>
        <w:t xml:space="preserve"> Accretive deployment of D&amp;PE capital at attractive yields; Portland identified as one of UDR’s best markets from a demand-supply perspective with job forecasts doubling since year-start.</w:t>
      </w:r>
    </w:p>
    <w:p>
      <w:pPr>
        <w:pStyle w:val="ListBullet"/>
        <w:ind w:left="360" w:hanging="360"/>
      </w:pPr>
      <w:r>
        <w:rPr>
          <w:rFonts w:ascii="Calibri" w:hAnsi="Calibri"/>
          <w:b/>
          <w:color w:val="525866"/>
          <w:sz w:val="22"/>
        </w:rPr>
        <w:t>April 29, 2026 — Four Asset Dispositions Completed.</w:t>
      </w:r>
      <w:r>
        <w:rPr>
          <w:rFonts w:ascii="Calibri" w:hAnsi="Calibri"/>
          <w:color w:val="525866"/>
          <w:sz w:val="22"/>
        </w:rPr>
        <w:t xml:space="preserve"> UDR sold communities in Baltimore, Denver, Seattle, and Tampa for gross proceeds of $362M. Assets selected based on inferior rent growth outlook, higher CapEx, and lower operational upside. </w:t>
      </w:r>
      <w:r>
        <w:rPr>
          <w:rFonts w:ascii="Calibri" w:hAnsi="Calibri"/>
          <w:b/>
          <w:color w:val="525866"/>
          <w:sz w:val="22"/>
        </w:rPr>
        <w:t>Implication:</w:t>
      </w:r>
      <w:r>
        <w:rPr>
          <w:rFonts w:ascii="Calibri" w:hAnsi="Calibri"/>
          <w:color w:val="525866"/>
          <w:sz w:val="22"/>
        </w:rPr>
        <w:t xml:space="preserve"> Proceeds fund share repurchases at ~$0.75–$0.80 on the dollar vs. private market value; portfolio quality improves.</w:t>
      </w:r>
    </w:p>
    <w:p>
      <w:pPr>
        <w:pStyle w:val="ListBullet"/>
        <w:ind w:left="360" w:hanging="360"/>
      </w:pPr>
      <w:r>
        <w:rPr>
          <w:rFonts w:ascii="Calibri" w:hAnsi="Calibri"/>
          <w:b/>
          <w:color w:val="525866"/>
          <w:sz w:val="22"/>
        </w:rPr>
        <w:t>May 21, 2026 — AVB/EQR Merger of Equals Announced.</w:t>
      </w:r>
      <w:r>
        <w:rPr>
          <w:rFonts w:ascii="Calibri" w:hAnsi="Calibri"/>
          <w:color w:val="525866"/>
          <w:sz w:val="22"/>
        </w:rPr>
        <w:t xml:space="preserve"> AvalonBay and Equity Residential announced an all-stock merger creating a ~$53B equity market cap / ~$71B enterprise value entity with 180,000+ apartments. </w:t>
      </w:r>
      <w:r>
        <w:rPr>
          <w:rFonts w:ascii="Calibri" w:hAnsi="Calibri"/>
          <w:b/>
          <w:color w:val="525866"/>
          <w:sz w:val="22"/>
        </w:rPr>
        <w:t>Implication:</w:t>
      </w:r>
      <w:r>
        <w:rPr>
          <w:rFonts w:ascii="Calibri" w:hAnsi="Calibri"/>
          <w:color w:val="525866"/>
          <w:sz w:val="22"/>
        </w:rPr>
        <w:t xml:space="preserve"> Creates a significantly larger competitor in shared coastal markets. Near-term, the merger-related distraction at both companies may create acquisition opportunities for UDR. Longer-term, the combined entity’s scale could intensify competition for tenants and assets.</w:t>
      </w:r>
    </w:p>
    <w:p>
      <w:pPr>
        <w:pStyle w:val="ListBullet"/>
        <w:ind w:left="360" w:hanging="360"/>
      </w:pPr>
      <w:r>
        <w:rPr>
          <w:rFonts w:ascii="Calibri" w:hAnsi="Calibri"/>
          <w:b/>
          <w:color w:val="525866"/>
          <w:sz w:val="22"/>
        </w:rPr>
        <w:t>April 29, 2026 — Board Succession: Two Directors Not Standing for Re-election.</w:t>
      </w:r>
      <w:r>
        <w:rPr>
          <w:rFonts w:ascii="Calibri" w:hAnsi="Calibri"/>
          <w:color w:val="525866"/>
          <w:sz w:val="22"/>
        </w:rPr>
        <w:t xml:space="preserve"> Katherine Cattanach and Diane Morefield will not stand for re-election as part of the Board’s long-term succession plan. </w:t>
      </w:r>
      <w:r>
        <w:rPr>
          <w:rFonts w:ascii="Calibri" w:hAnsi="Calibri"/>
          <w:b/>
          <w:color w:val="525866"/>
          <w:sz w:val="22"/>
        </w:rPr>
        <w:t>Implication:</w:t>
      </w:r>
      <w:r>
        <w:rPr>
          <w:rFonts w:ascii="Calibri" w:hAnsi="Calibri"/>
          <w:color w:val="525866"/>
          <w:sz w:val="22"/>
        </w:rPr>
        <w:t xml:space="preserve"> Routine governance transition; no operational impact expected.</w:t>
      </w:r>
    </w:p>
    <w:p>
      <w:pPr>
        <w:pStyle w:val="ListBullet"/>
        <w:ind w:left="360" w:hanging="360"/>
      </w:pPr>
      <w:r>
        <w:rPr>
          <w:rFonts w:ascii="Calibri" w:hAnsi="Calibri"/>
          <w:b/>
          <w:color w:val="525866"/>
          <w:sz w:val="22"/>
        </w:rPr>
        <w:t>Ongoing — Regulatory Risk: Rent Control Initiatives.</w:t>
      </w:r>
      <w:r>
        <w:rPr>
          <w:rFonts w:ascii="Calibri" w:hAnsi="Calibri"/>
          <w:color w:val="525866"/>
          <w:sz w:val="22"/>
        </w:rPr>
        <w:t xml:space="preserve"> UDR is actively engaged opposing rent control measures in Boston, Salinas (CA), New York City, and Washington D.C. The company has contributed ~$0.5M to oppose the Boston ballot measure. </w:t>
      </w:r>
      <w:r>
        <w:rPr>
          <w:rFonts w:ascii="Calibri" w:hAnsi="Calibri"/>
          <w:b/>
          <w:color w:val="525866"/>
          <w:sz w:val="22"/>
        </w:rPr>
        <w:t>Implication:</w:t>
      </w:r>
      <w:r>
        <w:rPr>
          <w:rFonts w:ascii="Calibri" w:hAnsi="Calibri"/>
          <w:color w:val="525866"/>
          <w:sz w:val="22"/>
        </w:rPr>
        <w:t xml:space="preserve"> Regulatory uncertainty has already had an adverse impact on pricing in Boston. Outcome of ballot measures could materially affect NOI in affected markets.</w:t>
      </w:r>
    </w:p>
    <w:p>
      <w:pPr>
        <w:pStyle w:val="ListBullet"/>
        <w:ind w:left="360" w:hanging="360"/>
      </w:pPr>
      <w:r>
        <w:rPr>
          <w:rFonts w:ascii="Calibri" w:hAnsi="Calibri"/>
          <w:b/>
          <w:color w:val="525866"/>
          <w:sz w:val="22"/>
        </w:rPr>
        <w:t>Q2 2026 — Development Update: 3099 Iowa (Riverside, CA) Ahead of Schedule.</w:t>
      </w:r>
      <w:r>
        <w:rPr>
          <w:rFonts w:ascii="Calibri" w:hAnsi="Calibri"/>
          <w:color w:val="525866"/>
          <w:sz w:val="22"/>
        </w:rPr>
        <w:t xml:space="preserve"> Ground-up development community now expected to reach initial occupancy in Q4 2026 (vs. original Q1 2027 expectation) and is under budget. </w:t>
      </w:r>
      <w:r>
        <w:rPr>
          <w:rFonts w:ascii="Calibri" w:hAnsi="Calibri"/>
          <w:b/>
          <w:color w:val="525866"/>
          <w:sz w:val="22"/>
        </w:rPr>
        <w:t>Implication:</w:t>
      </w:r>
      <w:r>
        <w:rPr>
          <w:rFonts w:ascii="Calibri" w:hAnsi="Calibri"/>
          <w:color w:val="525866"/>
          <w:sz w:val="22"/>
        </w:rPr>
        <w:t xml:space="preserve"> Positive for near-term NOI contribution; demonstrates execution capability.</w:t>
      </w:r>
    </w:p>
    <w:p>
      <w:r>
        <w:br w:type="page"/>
      </w:r>
    </w:p>
    <w:p>
      <w:pPr>
        <w:pStyle w:val="Heading2"/>
      </w:pPr>
      <w:r>
        <w:rPr>
          <w:rFonts w:ascii="Calibri" w:hAnsi="Calibri"/>
          <w:b/>
          <w:color w:val="3B4259"/>
          <w:sz w:val="28"/>
        </w:rPr>
        <w:t>7. Peer Read-Through: Current Q2 2026 Commentary Only</w:t>
      </w:r>
    </w:p>
    <w:p>
      <w:r>
        <w:rPr>
          <w:rFonts w:ascii="Calibri" w:hAnsi="Calibri"/>
          <w:b/>
          <w:color w:val="525866"/>
          <w:sz w:val="22"/>
        </w:rPr>
        <w:t xml:space="preserve">Key Takeaway: </w:t>
      </w:r>
      <w:r>
        <w:rPr>
          <w:rFonts w:ascii="Calibri" w:hAnsi="Calibri"/>
          <w:color w:val="525866"/>
          <w:sz w:val="22"/>
        </w:rPr>
        <w:t xml:space="preserve">Peer commentary from the last 60 days is broadly positive for UDR’s Q2 setup — </w:t>
      </w:r>
      <w:r>
        <w:rPr>
          <w:rFonts w:ascii="Calibri" w:hAnsi="Calibri"/>
          <w:b/>
          <w:color w:val="525866"/>
          <w:sz w:val="22"/>
        </w:rPr>
        <w:t>coastal markets (San Francisco, New York) are accelerating sharply</w:t>
      </w:r>
      <w:r>
        <w:rPr>
          <w:rFonts w:ascii="Calibri" w:hAnsi="Calibri"/>
          <w:color w:val="525866"/>
          <w:sz w:val="22"/>
        </w:rPr>
        <w:t xml:space="preserve"> with EQR reporting SF revenue +7.0% YoY and blended rates reaching 3.0% in July, while </w:t>
      </w:r>
      <w:r>
        <w:rPr>
          <w:rFonts w:ascii="Calibri" w:hAnsi="Calibri"/>
          <w:b/>
          <w:color w:val="525866"/>
          <w:sz w:val="22"/>
        </w:rPr>
        <w:t>Sunbelt markets are showing early signs of recovery</w:t>
      </w:r>
      <w:r>
        <w:rPr>
          <w:rFonts w:ascii="Calibri" w:hAnsi="Calibri"/>
          <w:color w:val="525866"/>
          <w:sz w:val="22"/>
        </w:rPr>
        <w:t xml:space="preserve"> with MAA reporting blended lease rates at a near-2-year high in May. The key read-through risk is that UDR’s Sunbelt exposure (Dallas, Tampa, Denver) may lag the coastal strength, consistent with management’s own April commentary about a temporary Sunbelt blip.</w:t>
      </w:r>
    </w:p>
    <w:p>
      <w:r>
        <w:rPr>
          <w:rFonts w:ascii="Calibri" w:hAnsi="Calibri"/>
          <w:i/>
          <w:color w:val="525866"/>
          <w:sz w:val="22"/>
        </w:rPr>
        <w:t>Note: Only commentary explicitly about Q2 2026 operating trends or post-Q1 2026 forward-looking statements is included below. Q1 2026 results commentary from peers is excluded.</w:t>
      </w:r>
    </w:p>
    <w:p>
      <w:pPr>
        <w:pStyle w:val="Heading3"/>
      </w:pPr>
      <w:r>
        <w:rPr>
          <w:rFonts w:ascii="Calibri" w:hAnsi="Calibri"/>
          <w:b/>
          <w:color w:val="3B4259"/>
          <w:sz w:val="24"/>
        </w:rPr>
        <w:t>Coastal Markets — Strong Positive Read-Through</w:t>
      </w:r>
    </w:p>
    <w:p>
      <w:pPr>
        <w:pStyle w:val="Heading4"/>
      </w:pPr>
      <w:r>
        <w:rPr>
          <w:rFonts w:ascii="Calibri" w:hAnsi="Calibri"/>
          <w:b/>
          <w:color w:val="3B4259"/>
          <w:sz w:val="22"/>
        </w:rPr>
        <w:t>Equity Residential (EQR) — Q2 2026 Results (July 22, 2026)</w:t>
      </w:r>
    </w:p>
    <w:p>
      <w:pPr>
        <w:pStyle w:val="ListBullet"/>
        <w:ind w:left="360" w:hanging="360"/>
      </w:pPr>
      <w:r>
        <w:rPr>
          <w:rFonts w:ascii="Calibri" w:hAnsi="Calibri"/>
          <w:b/>
          <w:color w:val="525866"/>
          <w:sz w:val="22"/>
        </w:rPr>
        <w:t xml:space="preserve">San Francisco: </w:t>
      </w:r>
      <w:r>
        <w:rPr>
          <w:rFonts w:ascii="Calibri" w:hAnsi="Calibri"/>
          <w:color w:val="525866"/>
          <w:sz w:val="22"/>
        </w:rPr>
        <w:t xml:space="preserve">Revenue +7.0% YoY, NOI +11.0% YoY, average rental rate +6.5%, occupancy 97.7% (+50 bps YoY). Blended rate guidance improvement “primarily driven by strong momentum in the San Francisco market.” </w:t>
      </w:r>
      <w:r>
        <w:rPr>
          <w:rFonts w:ascii="Calibri" w:hAnsi="Calibri"/>
          <w:b/>
          <w:color w:val="525866"/>
          <w:sz w:val="22"/>
        </w:rPr>
        <w:t>UDR Read-Through:</w:t>
      </w:r>
      <w:r>
        <w:rPr>
          <w:rFonts w:ascii="Calibri" w:hAnsi="Calibri"/>
          <w:color w:val="525866"/>
          <w:sz w:val="22"/>
        </w:rPr>
        <w:t xml:space="preserve"> UDR’s own Q1 call cited SF blended lease rate growth of ~10% and occupancy in the high-97% range. EQR’s Q2 data confirms the SF acceleration is real and sustained — UDR’s SF exposure should deliver similar outperformance.</w:t>
      </w:r>
    </w:p>
    <w:p>
      <w:pPr>
        <w:pStyle w:val="ListBullet"/>
        <w:ind w:left="360" w:hanging="360"/>
      </w:pPr>
      <w:r>
        <w:rPr>
          <w:rFonts w:ascii="Calibri" w:hAnsi="Calibri"/>
          <w:b/>
          <w:color w:val="525866"/>
          <w:sz w:val="22"/>
        </w:rPr>
        <w:t xml:space="preserve">New York: </w:t>
      </w:r>
      <w:r>
        <w:rPr>
          <w:rFonts w:ascii="Calibri" w:hAnsi="Calibri"/>
          <w:color w:val="525866"/>
          <w:sz w:val="22"/>
        </w:rPr>
        <w:t xml:space="preserve">Revenue +3.8% YoY, NOI +3.7% YoY, average rental rate +4.3%, occupancy 97.4%. </w:t>
      </w:r>
      <w:r>
        <w:rPr>
          <w:rFonts w:ascii="Calibri" w:hAnsi="Calibri"/>
          <w:b/>
          <w:color w:val="525866"/>
          <w:sz w:val="22"/>
        </w:rPr>
        <w:t>UDR Read-Through:</w:t>
      </w:r>
      <w:r>
        <w:rPr>
          <w:rFonts w:ascii="Calibri" w:hAnsi="Calibri"/>
          <w:color w:val="525866"/>
          <w:sz w:val="22"/>
        </w:rPr>
        <w:t xml:space="preserve"> UDR cited NY blended lease rate growth of ~7% and occupancy above 98% in Q1. EQR’s Q2 data confirms continued NY strength.</w:t>
      </w:r>
    </w:p>
    <w:p>
      <w:pPr>
        <w:pStyle w:val="ListBullet"/>
        <w:ind w:left="360" w:hanging="360"/>
      </w:pPr>
      <w:r>
        <w:rPr>
          <w:rFonts w:ascii="Calibri" w:hAnsi="Calibri"/>
          <w:b/>
          <w:color w:val="525866"/>
          <w:sz w:val="22"/>
        </w:rPr>
        <w:t xml:space="preserve">Blended Lease Rates: </w:t>
      </w:r>
      <w:r>
        <w:rPr>
          <w:rFonts w:ascii="Calibri" w:hAnsi="Calibri"/>
          <w:color w:val="525866"/>
          <w:sz w:val="22"/>
        </w:rPr>
        <w:t xml:space="preserve">EQR Q2 2026 blended rate of 2.8% (vs. 1.5% in Q1 2026), with July preliminary at 3.0%. New lease change improved from −2.8% in Q1 to −0.7% in Q2, with July at −0.1%. Renewal rate achieved 5.2% in Q2. </w:t>
      </w:r>
      <w:r>
        <w:rPr>
          <w:rFonts w:ascii="Calibri" w:hAnsi="Calibri"/>
          <w:b/>
          <w:color w:val="525866"/>
          <w:sz w:val="22"/>
        </w:rPr>
        <w:t>UDR Read-Through:</w:t>
      </w:r>
      <w:r>
        <w:rPr>
          <w:rFonts w:ascii="Calibri" w:hAnsi="Calibri"/>
          <w:color w:val="525866"/>
          <w:sz w:val="22"/>
        </w:rPr>
        <w:t xml:space="preserve"> The sharp acceleration in blended rates from Q1 to Q2 at EQR is a strong positive signal for UDR’s own Q2 blended rate guidance of 1.5–2.0%. UDR’s portfolio has higher Sunbelt exposure than EQR, so the absolute level will be lower, but the directional improvement should be similar.</w:t>
      </w:r>
    </w:p>
    <w:p>
      <w:pPr>
        <w:pStyle w:val="ListBullet"/>
        <w:ind w:left="360" w:hanging="360"/>
      </w:pPr>
      <w:r>
        <w:rPr>
          <w:rFonts w:ascii="Calibri" w:hAnsi="Calibri"/>
          <w:b/>
          <w:color w:val="525866"/>
          <w:sz w:val="22"/>
        </w:rPr>
        <w:t xml:space="preserve">Full-Year Guidance Raised: </w:t>
      </w:r>
      <w:r>
        <w:rPr>
          <w:rFonts w:ascii="Calibri" w:hAnsi="Calibri"/>
          <w:color w:val="525866"/>
          <w:sz w:val="22"/>
        </w:rPr>
        <w:t xml:space="preserve">EQR raised SS revenue guidance to 2.1–2.7% (from 1.2–3.2%) and SS NOI guidance to 1.5–2.1% (from 0.5–2.5%). </w:t>
      </w:r>
      <w:r>
        <w:rPr>
          <w:rFonts w:ascii="Calibri" w:hAnsi="Calibri"/>
          <w:b/>
          <w:color w:val="525866"/>
          <w:sz w:val="22"/>
        </w:rPr>
        <w:t>UDR Read-Through:</w:t>
      </w:r>
      <w:r>
        <w:rPr>
          <w:rFonts w:ascii="Calibri" w:hAnsi="Calibri"/>
          <w:color w:val="525866"/>
          <w:sz w:val="22"/>
        </w:rPr>
        <w:t xml:space="preserve"> EQR’s guidance raise is a positive signal for the sector. UDR’s FY guidance midpoint of 1.25% SS revenue growth looks conservative relative to EQR’s raised midpoint of 2.4%, though UDR’s Sunbelt exposure justifies some discount.</w:t>
      </w:r>
    </w:p>
    <w:p>
      <w:pPr>
        <w:pStyle w:val="ListBullet"/>
        <w:ind w:left="360" w:hanging="360"/>
      </w:pPr>
      <w:r>
        <w:rPr>
          <w:rFonts w:ascii="Calibri" w:hAnsi="Calibri"/>
          <w:b/>
          <w:color w:val="525866"/>
          <w:sz w:val="22"/>
        </w:rPr>
        <w:t xml:space="preserve">Sunbelt Weakness (EQR): </w:t>
      </w:r>
      <w:r>
        <w:rPr>
          <w:rFonts w:ascii="Calibri" w:hAnsi="Calibri"/>
          <w:color w:val="525866"/>
          <w:sz w:val="22"/>
        </w:rPr>
        <w:t xml:space="preserve">Denver SS revenue −6.4% YoY, NOI −9.9% YoY. Dallas/Austin revenue −1.3% YoY. Atlanta revenue −0.3% YoY. </w:t>
      </w:r>
      <w:r>
        <w:rPr>
          <w:rFonts w:ascii="Calibri" w:hAnsi="Calibri"/>
          <w:b/>
          <w:color w:val="525866"/>
          <w:sz w:val="22"/>
        </w:rPr>
        <w:t>UDR Read-Through:</w:t>
      </w:r>
      <w:r>
        <w:rPr>
          <w:rFonts w:ascii="Calibri" w:hAnsi="Calibri"/>
          <w:color w:val="525866"/>
          <w:sz w:val="22"/>
        </w:rPr>
        <w:t xml:space="preserve"> UDR has exposure to Dallas (improving, per Q1 call) and Tampa (sold in Q2). The EQR Denver weakness is a caution flag for UDR’s remaining Denver exposure.</w:t>
      </w:r>
    </w:p>
    <w:p>
      <w:pPr>
        <w:pStyle w:val="Heading4"/>
      </w:pPr>
      <w:r>
        <w:rPr>
          <w:rFonts w:ascii="Calibri" w:hAnsi="Calibri"/>
          <w:b/>
          <w:color w:val="3B4259"/>
          <w:sz w:val="22"/>
        </w:rPr>
        <w:t>AvalonBay Communities (AVB) — Q2 2026 Results (July 23, 2026)</w:t>
      </w:r>
    </w:p>
    <w:p>
      <w:pPr>
        <w:pStyle w:val="ListBullet"/>
        <w:ind w:left="360" w:hanging="360"/>
      </w:pPr>
      <w:r>
        <w:rPr>
          <w:rFonts w:ascii="Calibri" w:hAnsi="Calibri"/>
          <w:b/>
          <w:color w:val="525866"/>
          <w:sz w:val="22"/>
        </w:rPr>
        <w:t xml:space="preserve">Q2 Beat: </w:t>
      </w:r>
      <w:r>
        <w:rPr>
          <w:rFonts w:ascii="Calibri" w:hAnsi="Calibri"/>
          <w:color w:val="525866"/>
          <w:sz w:val="22"/>
        </w:rPr>
        <w:t xml:space="preserve">AVB reported Core FFO/share of $2.86 (+1.4% YoY), beating Q2 2025 by $0.04. SS residential revenue +1.6% YoY, SS NOI +1.0% YoY. CEO described Q2 as “strong, exceeding expectations.” </w:t>
      </w:r>
      <w:r>
        <w:rPr>
          <w:rFonts w:ascii="Calibri" w:hAnsi="Calibri"/>
          <w:b/>
          <w:color w:val="525866"/>
          <w:sz w:val="22"/>
        </w:rPr>
        <w:t>UDR Read-Through:</w:t>
      </w:r>
      <w:r>
        <w:rPr>
          <w:rFonts w:ascii="Calibri" w:hAnsi="Calibri"/>
          <w:color w:val="525866"/>
          <w:sz w:val="22"/>
        </w:rPr>
        <w:t xml:space="preserve"> A peer beat with raised guidance is a positive sector read-through. AVB’s “healthier demand environment” and “easing new supply” commentary supports UDR’s own thesis.</w:t>
      </w:r>
    </w:p>
    <w:p>
      <w:pPr>
        <w:pStyle w:val="ListBullet"/>
        <w:ind w:left="360" w:hanging="360"/>
      </w:pPr>
      <w:r>
        <w:rPr>
          <w:rFonts w:ascii="Calibri" w:hAnsi="Calibri"/>
          <w:b/>
          <w:color w:val="525866"/>
          <w:sz w:val="22"/>
        </w:rPr>
        <w:t xml:space="preserve">Northern California: </w:t>
      </w:r>
      <w:r>
        <w:rPr>
          <w:rFonts w:ascii="Calibri" w:hAnsi="Calibri"/>
          <w:color w:val="525866"/>
          <w:sz w:val="22"/>
        </w:rPr>
        <w:t xml:space="preserve">SS NOI of $84.1M in Q2 2026 vs. $77.1M in Q2 2025 (+9.1% YoY). </w:t>
      </w:r>
      <w:r>
        <w:rPr>
          <w:rFonts w:ascii="Calibri" w:hAnsi="Calibri"/>
          <w:b/>
          <w:color w:val="525866"/>
          <w:sz w:val="22"/>
        </w:rPr>
        <w:t>UDR Read-Through:</w:t>
      </w:r>
      <w:r>
        <w:rPr>
          <w:rFonts w:ascii="Calibri" w:hAnsi="Calibri"/>
          <w:color w:val="525866"/>
          <w:sz w:val="22"/>
        </w:rPr>
        <w:t xml:space="preserve"> Confirms the NorCal recovery story is intact and accelerating, consistent with UDR’s SF commentary.</w:t>
      </w:r>
    </w:p>
    <w:p>
      <w:pPr>
        <w:pStyle w:val="ListBullet"/>
        <w:ind w:left="360" w:hanging="360"/>
      </w:pPr>
      <w:r>
        <w:rPr>
          <w:rFonts w:ascii="Calibri" w:hAnsi="Calibri"/>
          <w:b/>
          <w:color w:val="525866"/>
          <w:sz w:val="22"/>
        </w:rPr>
        <w:t xml:space="preserve">Full-Year SS NOI Guidance Raised: </w:t>
      </w:r>
      <w:r>
        <w:rPr>
          <w:rFonts w:ascii="Calibri" w:hAnsi="Calibri"/>
          <w:color w:val="525866"/>
          <w:sz w:val="22"/>
        </w:rPr>
        <w:t xml:space="preserve">AVB raised SS NOI guidance to 0%–1.4% (from −0.7%–1.3%), moving the low end from negative to zero. SS revenue guidance tightened to 1.1–2.1% (from 0.4–2.4%). </w:t>
      </w:r>
      <w:r>
        <w:rPr>
          <w:rFonts w:ascii="Calibri" w:hAnsi="Calibri"/>
          <w:b/>
          <w:color w:val="525866"/>
          <w:sz w:val="22"/>
        </w:rPr>
        <w:t>UDR Read-Through:</w:t>
      </w:r>
      <w:r>
        <w:rPr>
          <w:rFonts w:ascii="Calibri" w:hAnsi="Calibri"/>
          <w:color w:val="525866"/>
          <w:sz w:val="22"/>
        </w:rPr>
        <w:t xml:space="preserve"> The guidance raise, particularly moving the NOI floor to zero, is a meaningful positive signal for the sector. UDR’s own FY NOI guidance midpoint of +0.125% looks achievable if coastal markets continue to outperform.</w:t>
      </w:r>
    </w:p>
    <w:p>
      <w:pPr>
        <w:pStyle w:val="ListBullet"/>
        <w:ind w:left="360" w:hanging="360"/>
      </w:pPr>
      <w:r>
        <w:rPr>
          <w:rFonts w:ascii="Calibri" w:hAnsi="Calibri"/>
          <w:b/>
          <w:color w:val="525866"/>
          <w:sz w:val="22"/>
        </w:rPr>
        <w:t xml:space="preserve">Expense Favorability: </w:t>
      </w:r>
      <w:r>
        <w:rPr>
          <w:rFonts w:ascii="Calibri" w:hAnsi="Calibri"/>
          <w:color w:val="525866"/>
          <w:sz w:val="22"/>
        </w:rPr>
        <w:t xml:space="preserve">AVB Q2 beat included $0.06/share of lower operating expenses vs. April outlook, though ~$0.03 is timing-related and expected to be incurred in H2. </w:t>
      </w:r>
      <w:r>
        <w:rPr>
          <w:rFonts w:ascii="Calibri" w:hAnsi="Calibri"/>
          <w:b/>
          <w:color w:val="525866"/>
          <w:sz w:val="22"/>
        </w:rPr>
        <w:t>UDR Read-Through:</w:t>
      </w:r>
      <w:r>
        <w:rPr>
          <w:rFonts w:ascii="Calibri" w:hAnsi="Calibri"/>
          <w:color w:val="525866"/>
          <w:sz w:val="22"/>
        </w:rPr>
        <w:t xml:space="preserve"> Expense timing is a common theme; UDR’s Q1 elevated expenses (weather-related) should normalize in Q2, providing a sequential tailwind.</w:t>
      </w:r>
    </w:p>
    <w:p>
      <w:pPr>
        <w:pStyle w:val="Heading3"/>
      </w:pPr>
      <w:r>
        <w:rPr>
          <w:rFonts w:ascii="Calibri" w:hAnsi="Calibri"/>
          <w:b/>
          <w:color w:val="3B4259"/>
          <w:sz w:val="24"/>
        </w:rPr>
        <w:t>Sunbelt Markets — Recovery Underway but Uneven</w:t>
      </w:r>
    </w:p>
    <w:p>
      <w:pPr>
        <w:pStyle w:val="Heading4"/>
      </w:pPr>
      <w:r>
        <w:rPr>
          <w:rFonts w:ascii="Calibri" w:hAnsi="Calibri"/>
          <w:b/>
          <w:color w:val="3B4259"/>
          <w:sz w:val="22"/>
        </w:rPr>
        <w:t>Mid-America Apartment Communities (MAA) — Nareit REITweek Conference (June 3, 2026)</w:t>
      </w:r>
    </w:p>
    <w:p>
      <w:pPr>
        <w:pStyle w:val="ListBullet"/>
        <w:ind w:left="360" w:hanging="360"/>
      </w:pPr>
      <w:r>
        <w:rPr>
          <w:rFonts w:ascii="Calibri" w:hAnsi="Calibri"/>
          <w:b/>
          <w:color w:val="525866"/>
          <w:sz w:val="22"/>
        </w:rPr>
        <w:t xml:space="preserve">Blended Lease Rate Acceleration: </w:t>
      </w:r>
      <w:r>
        <w:rPr>
          <w:rFonts w:ascii="Calibri" w:hAnsi="Calibri"/>
          <w:color w:val="525866"/>
          <w:sz w:val="22"/>
        </w:rPr>
        <w:t xml:space="preserve">MAA reported blended lease-over-lease rates up ~140 bps in May from Q1, with new lease rates up ~240 bps in May from Q1. The actual dollar amount of average blended lease pricing in May was “the highest we’ve seen in almost 2 years.” Management expects the trend to “continue to build” through the summer leasing season. </w:t>
      </w:r>
      <w:r>
        <w:rPr>
          <w:rFonts w:ascii="Calibri" w:hAnsi="Calibri"/>
          <w:b/>
          <w:color w:val="525866"/>
          <w:sz w:val="22"/>
        </w:rPr>
        <w:t>UDR Read-Through:</w:t>
      </w:r>
      <w:r>
        <w:rPr>
          <w:rFonts w:ascii="Calibri" w:hAnsi="Calibri"/>
          <w:color w:val="525866"/>
          <w:sz w:val="22"/>
        </w:rPr>
        <w:t xml:space="preserve"> This is a strong positive signal for UDR’s Sunbelt markets. If the Sunbelt softness UDR flagged in April (blends retreating to −2.5%) has reversed through May–June as MAA’s data suggests, UDR’s Q2 blended rate could come in at or above the 1.5–2.0% guidance range.</w:t>
      </w:r>
    </w:p>
    <w:p>
      <w:pPr>
        <w:pStyle w:val="ListBullet"/>
        <w:ind w:left="360" w:hanging="360"/>
      </w:pPr>
      <w:r>
        <w:rPr>
          <w:rFonts w:ascii="Calibri" w:hAnsi="Calibri"/>
          <w:b/>
          <w:color w:val="525866"/>
          <w:sz w:val="22"/>
        </w:rPr>
        <w:t xml:space="preserve">Supply Declining Sharply: </w:t>
      </w:r>
      <w:r>
        <w:rPr>
          <w:rFonts w:ascii="Calibri" w:hAnsi="Calibri"/>
          <w:color w:val="525866"/>
          <w:sz w:val="22"/>
        </w:rPr>
        <w:t xml:space="preserve">Sunbelt supply down ~40% from 2025 and ~60% from 2024. New starts at ~2% of inventory (trailing 12 months), below long-term average of ~3%. </w:t>
      </w:r>
      <w:r>
        <w:rPr>
          <w:rFonts w:ascii="Calibri" w:hAnsi="Calibri"/>
          <w:b/>
          <w:color w:val="525866"/>
          <w:sz w:val="22"/>
        </w:rPr>
        <w:t>UDR Read-Through:</w:t>
      </w:r>
      <w:r>
        <w:rPr>
          <w:rFonts w:ascii="Calibri" w:hAnsi="Calibri"/>
          <w:color w:val="525866"/>
          <w:sz w:val="22"/>
        </w:rPr>
        <w:t xml:space="preserve"> The supply headwind that pressured UDR’s Sunbelt markets in 2024–2025 is abating rapidly. This supports management’s expectation of a Sunbelt inflection in 2026.</w:t>
      </w:r>
    </w:p>
    <w:p>
      <w:pPr>
        <w:pStyle w:val="ListBullet"/>
        <w:ind w:left="360" w:hanging="360"/>
      </w:pPr>
      <w:r>
        <w:rPr>
          <w:rFonts w:ascii="Calibri" w:hAnsi="Calibri"/>
          <w:b/>
          <w:color w:val="525866"/>
          <w:sz w:val="22"/>
        </w:rPr>
        <w:t xml:space="preserve">Demand Robust: </w:t>
      </w:r>
      <w:r>
        <w:rPr>
          <w:rFonts w:ascii="Calibri" w:hAnsi="Calibri"/>
          <w:color w:val="525866"/>
          <w:sz w:val="22"/>
        </w:rPr>
        <w:t xml:space="preserve">Sunbelt demand dynamics “remain pretty robust” with job growth, household formation, and population growth “2x what you see in other regions.” Job relocations picking up in the last 3–4 months (Starbucks to Nashville, Goldman Sachs to Dallas, JPMorgan to Charlotte). </w:t>
      </w:r>
      <w:r>
        <w:rPr>
          <w:rFonts w:ascii="Calibri" w:hAnsi="Calibri"/>
          <w:b/>
          <w:color w:val="525866"/>
          <w:sz w:val="22"/>
        </w:rPr>
        <w:t>UDR Read-Through:</w:t>
      </w:r>
      <w:r>
        <w:rPr>
          <w:rFonts w:ascii="Calibri" w:hAnsi="Calibri"/>
          <w:color w:val="525866"/>
          <w:sz w:val="22"/>
        </w:rPr>
        <w:t xml:space="preserve"> UDR’s Dallas market was already showing positive momentum in Q1 (blended rates turning positive after +570 bps improvement from Q4). The job relocation trend is a direct tailwind for UDR’s Dallas and Nashville exposure.</w:t>
      </w:r>
    </w:p>
    <w:p>
      <w:pPr>
        <w:pStyle w:val="ListBullet"/>
        <w:ind w:left="360" w:hanging="360"/>
      </w:pPr>
      <w:r>
        <w:rPr>
          <w:rFonts w:ascii="Calibri" w:hAnsi="Calibri"/>
          <w:b/>
          <w:color w:val="525866"/>
          <w:sz w:val="22"/>
        </w:rPr>
        <w:t xml:space="preserve">Occupancy Stabilizing, Concessions Declining: </w:t>
      </w:r>
      <w:r>
        <w:rPr>
          <w:rFonts w:ascii="Calibri" w:hAnsi="Calibri"/>
          <w:color w:val="525866"/>
          <w:sz w:val="22"/>
        </w:rPr>
        <w:t xml:space="preserve">Market-level occupancies stabilizing at historical averages; concession usage declining in some markets, leading to “more pricing power.” Example: South Austin seeing 10% increase in new lease rates as concession fundamentals improve. </w:t>
      </w:r>
      <w:r>
        <w:rPr>
          <w:rFonts w:ascii="Calibri" w:hAnsi="Calibri"/>
          <w:b/>
          <w:color w:val="525866"/>
          <w:sz w:val="22"/>
        </w:rPr>
        <w:t>UDR Read-Through:</w:t>
      </w:r>
      <w:r>
        <w:rPr>
          <w:rFonts w:ascii="Calibri" w:hAnsi="Calibri"/>
          <w:color w:val="525866"/>
          <w:sz w:val="22"/>
        </w:rPr>
        <w:t xml:space="preserve"> Consistent with UDR’s own thesis that Sunbelt markets are in the early stages of a recovery cycle. The concession burn-off is a leading indicator of rent growth acceleration.</w:t>
      </w:r>
    </w:p>
    <w:p>
      <w:pPr>
        <w:pStyle w:val="Heading4"/>
      </w:pPr>
      <w:r>
        <w:rPr>
          <w:rFonts w:ascii="Calibri" w:hAnsi="Calibri"/>
          <w:b/>
          <w:color w:val="3B4259"/>
          <w:sz w:val="22"/>
        </w:rPr>
        <w:t>Essex Property Trust (ESS) — Nareit REITweek Conference (June 3, 2026)</w:t>
      </w:r>
    </w:p>
    <w:p>
      <w:pPr>
        <w:pStyle w:val="ListBullet"/>
        <w:ind w:left="360" w:hanging="360"/>
      </w:pPr>
      <w:r>
        <w:rPr>
          <w:rFonts w:ascii="Calibri" w:hAnsi="Calibri"/>
          <w:b/>
          <w:color w:val="525866"/>
          <w:sz w:val="22"/>
        </w:rPr>
        <w:t xml:space="preserve">West Coast Blended Rate Acceleration: </w:t>
      </w:r>
      <w:r>
        <w:rPr>
          <w:rFonts w:ascii="Calibri" w:hAnsi="Calibri"/>
          <w:color w:val="525866"/>
          <w:sz w:val="22"/>
        </w:rPr>
        <w:t xml:space="preserve">ESS blended lease rate growth was 1.4% in Q1, accelerating to 3.1% in April and 3.7% in May. Management described the trend as “definitely heading the right direction” and “momentum continuing.” ESS has “flipped” from occupancy preservation to pushing rents in Q2. </w:t>
      </w:r>
      <w:r>
        <w:rPr>
          <w:rFonts w:ascii="Calibri" w:hAnsi="Calibri"/>
          <w:b/>
          <w:color w:val="525866"/>
          <w:sz w:val="22"/>
        </w:rPr>
        <w:t>UDR Read-Through:</w:t>
      </w:r>
      <w:r>
        <w:rPr>
          <w:rFonts w:ascii="Calibri" w:hAnsi="Calibri"/>
          <w:color w:val="525866"/>
          <w:sz w:val="22"/>
        </w:rPr>
        <w:t xml:space="preserve"> ESS’s West Coast acceleration is the most direct read-through for UDR’s San Francisco and Southern California exposure. The 3.7% blended rate in May at ESS is consistent with UDR’s own SF commentary (~10% blended in Q1) and suggests continued strength.</w:t>
      </w:r>
    </w:p>
    <w:p>
      <w:pPr>
        <w:pStyle w:val="ListBullet"/>
        <w:ind w:left="360" w:hanging="360"/>
      </w:pPr>
      <w:r>
        <w:rPr>
          <w:rFonts w:ascii="Calibri" w:hAnsi="Calibri"/>
          <w:b/>
          <w:color w:val="525866"/>
          <w:sz w:val="22"/>
        </w:rPr>
        <w:t xml:space="preserve">Trending Ahead of Guidance: </w:t>
      </w:r>
      <w:r>
        <w:rPr>
          <w:rFonts w:ascii="Calibri" w:hAnsi="Calibri"/>
          <w:color w:val="525866"/>
          <w:sz w:val="22"/>
        </w:rPr>
        <w:t xml:space="preserve">ESS stated it is “trending ahead of our guidance” for 2026 and will “revisit how we’re going to guide the Street” once Q2 numbers are finalized. Initial guidance assumed flat blended rents in H2 vs. H1. </w:t>
      </w:r>
      <w:r>
        <w:rPr>
          <w:rFonts w:ascii="Calibri" w:hAnsi="Calibri"/>
          <w:b/>
          <w:color w:val="525866"/>
          <w:sz w:val="22"/>
        </w:rPr>
        <w:t>UDR Read-Through:</w:t>
      </w:r>
      <w:r>
        <w:rPr>
          <w:rFonts w:ascii="Calibri" w:hAnsi="Calibri"/>
          <w:color w:val="525866"/>
          <w:sz w:val="22"/>
        </w:rPr>
        <w:t xml:space="preserve"> If ESS raises guidance at its Q2 print, it would be a strong positive signal for UDR’s own guidance trajectory. UDR’s FY SS revenue guidance midpoint of 1.25% could prove conservative.</w:t>
      </w:r>
    </w:p>
    <w:p>
      <w:pPr>
        <w:pStyle w:val="ListBullet"/>
        <w:ind w:left="360" w:hanging="360"/>
      </w:pPr>
      <w:r>
        <w:rPr>
          <w:rFonts w:ascii="Calibri" w:hAnsi="Calibri"/>
          <w:b/>
          <w:color w:val="525866"/>
          <w:sz w:val="22"/>
        </w:rPr>
        <w:t xml:space="preserve">Supply Dynamics: </w:t>
      </w:r>
      <w:r>
        <w:rPr>
          <w:rFonts w:ascii="Calibri" w:hAnsi="Calibri"/>
          <w:color w:val="525866"/>
          <w:sz w:val="22"/>
        </w:rPr>
        <w:t xml:space="preserve">West Coast supply at ~40 bps of total stock (vs. normal ~70 bps). “We don’t need a lot of job growth to drive demand and to have stable rent growth.” AI-driven job growth and return-to-office mandates are additional demand tailwinds. Net domestic in-migration to Bay Area turned positive “for the first time in decades.” </w:t>
      </w:r>
      <w:r>
        <w:rPr>
          <w:rFonts w:ascii="Calibri" w:hAnsi="Calibri"/>
          <w:b/>
          <w:color w:val="525866"/>
          <w:sz w:val="22"/>
        </w:rPr>
        <w:t>UDR Read-Through:</w:t>
      </w:r>
      <w:r>
        <w:rPr>
          <w:rFonts w:ascii="Calibri" w:hAnsi="Calibri"/>
          <w:color w:val="525866"/>
          <w:sz w:val="22"/>
        </w:rPr>
        <w:t xml:space="preserve"> The structural supply constraint in coastal markets is a durable tailwind for UDR’s coastal portfolio. The AI/tech demand driver is particularly relevant for UDR’s San Francisco and Seattle exposure.</w:t>
      </w:r>
    </w:p>
    <w:p>
      <w:pPr>
        <w:pStyle w:val="ListBullet"/>
        <w:ind w:left="360" w:hanging="360"/>
      </w:pPr>
      <w:r>
        <w:rPr>
          <w:rFonts w:ascii="Calibri" w:hAnsi="Calibri"/>
          <w:b/>
          <w:color w:val="525866"/>
          <w:sz w:val="22"/>
        </w:rPr>
        <w:t xml:space="preserve">Seattle Improving: </w:t>
      </w:r>
      <w:r>
        <w:rPr>
          <w:rFonts w:ascii="Calibri" w:hAnsi="Calibri"/>
          <w:color w:val="525866"/>
          <w:sz w:val="22"/>
        </w:rPr>
        <w:t xml:space="preserve">ESS lease rates in Seattle “turned positive in March” and have improved every month since, “slightly ahead of our expectations.” Supply down ~25% in 2026 and further lower in 2027. </w:t>
      </w:r>
      <w:r>
        <w:rPr>
          <w:rFonts w:ascii="Calibri" w:hAnsi="Calibri"/>
          <w:b/>
          <w:color w:val="525866"/>
          <w:sz w:val="22"/>
        </w:rPr>
        <w:t>UDR Read-Through:</w:t>
      </w:r>
      <w:r>
        <w:rPr>
          <w:rFonts w:ascii="Calibri" w:hAnsi="Calibri"/>
          <w:color w:val="525866"/>
          <w:sz w:val="22"/>
        </w:rPr>
        <w:t xml:space="preserve"> UDR sold its Seattle asset in Q2 (part of the $362M disposition), so direct read-through is limited. However, the improving Seattle market validates UDR’s ability to sell at full private market valuations.</w:t>
      </w:r>
    </w:p>
    <w:p>
      <w:pPr>
        <w:pStyle w:val="Heading4"/>
      </w:pPr>
      <w:r>
        <w:rPr>
          <w:rFonts w:ascii="Calibri" w:hAnsi="Calibri"/>
          <w:b/>
          <w:color w:val="3B4259"/>
          <w:sz w:val="22"/>
        </w:rPr>
        <w:t>Camden Property Trust (CPT) — Nareit REITweek Update (June 1, 2026)</w:t>
      </w:r>
    </w:p>
    <w:p>
      <w:pPr>
        <w:pStyle w:val="ListBullet"/>
        <w:ind w:left="360" w:hanging="360"/>
      </w:pPr>
      <w:r>
        <w:rPr>
          <w:rFonts w:ascii="Calibri" w:hAnsi="Calibri"/>
          <w:b/>
          <w:color w:val="525866"/>
          <w:sz w:val="22"/>
        </w:rPr>
        <w:t xml:space="preserve">Q2 2026 Performance In Line: </w:t>
      </w:r>
      <w:r>
        <w:rPr>
          <w:rFonts w:ascii="Calibri" w:hAnsi="Calibri"/>
          <w:color w:val="525866"/>
          <w:sz w:val="22"/>
        </w:rPr>
        <w:t xml:space="preserve">Camden stated that Q2 2026 operating trends “to date are in line with guidance and expectations provided in conjunction with its first quarter 2026 earnings release.” No specific metrics provided. </w:t>
      </w:r>
      <w:r>
        <w:rPr>
          <w:rFonts w:ascii="Calibri" w:hAnsi="Calibri"/>
          <w:b/>
          <w:color w:val="525866"/>
          <w:sz w:val="22"/>
        </w:rPr>
        <w:t>UDR Read-Through:</w:t>
      </w:r>
      <w:r>
        <w:rPr>
          <w:rFonts w:ascii="Calibri" w:hAnsi="Calibri"/>
          <w:color w:val="525866"/>
          <w:sz w:val="22"/>
        </w:rPr>
        <w:t xml:space="preserve"> Limited read-through given the high-level nature of the update. However, the absence of a negative pre-announcement from a Sunbelt-focused peer is a mild positive signal — the Sunbelt environment is not deteriorating materially from Q1 levels.</w:t>
      </w:r>
    </w:p>
    <w:p>
      <w:r>
        <w:rPr>
          <w:rFonts w:ascii="Calibri" w:hAnsi="Calibri"/>
          <w:i/>
          <w:color w:val="525866"/>
          <w:sz w:val="22"/>
        </w:rPr>
        <w:t>Sources: EQR Q2 2026 Earnings Release (July 22, 2026); AVB Q2 2026 Earnings Release (July 23, 2026); MAA Nareit REITweek Conference Transcript (June 3, 2026); ESS Nareit REITweek Conference Transcript (June 3, 2026); CPT Nareit REITweek Press Release (June 1, 2026).</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 xml:space="preserve">One notable open-market sale by the CEO (Thomas Toomey, 80,000 shares on June 5, 2026) is the only insider transaction in the post-Q1 window. The sale was </w:t>
      </w:r>
      <w:r>
        <w:rPr>
          <w:rFonts w:ascii="Calibri" w:hAnsi="Calibri"/>
          <w:b/>
          <w:color w:val="525866"/>
          <w:sz w:val="22"/>
        </w:rPr>
        <w:t>not under a 10b5-1 plan</w:t>
      </w:r>
      <w:r>
        <w:rPr>
          <w:rFonts w:ascii="Calibri" w:hAnsi="Calibri"/>
          <w:color w:val="525866"/>
          <w:sz w:val="22"/>
        </w:rPr>
        <w:t>, which warrants attention, though the size (~$3.1M) is modest relative to his remaining position of 810,455 shares (~$32M). No insider buying has occurred despite the company’s own characterization of the stock as trading at a significant discount to NAV.</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Name</w:t>
            </w:r>
          </w:p>
        </w:tc>
        <w:tc>
          <w:tcPr>
            <w:tcW w:type="dxa" w:w="1234"/>
            <w:shd w:val="clear" w:color="auto" w:fill="3B4259"/>
          </w:tcPr>
          <w:p>
            <w:r>
              <w:rPr>
                <w:rFonts w:ascii="Calibri" w:hAnsi="Calibri"/>
                <w:b/>
                <w:color w:val="FFFFFF"/>
                <w:sz w:val="22"/>
              </w:rPr>
              <w:t>Title</w:t>
            </w:r>
          </w:p>
        </w:tc>
        <w:tc>
          <w:tcPr>
            <w:tcW w:type="dxa" w:w="1234"/>
            <w:shd w:val="clear" w:color="auto" w:fill="3B4259"/>
          </w:tcPr>
          <w:p>
            <w:r>
              <w:rPr>
                <w:rFonts w:ascii="Calibri" w:hAnsi="Calibri"/>
                <w:b/>
                <w:color w:val="FFFFFF"/>
                <w:sz w:val="22"/>
              </w:rPr>
              <w:t>Transaction Type</w:t>
            </w:r>
          </w:p>
        </w:tc>
        <w:tc>
          <w:tcPr>
            <w:tcW w:type="dxa" w:w="1234"/>
            <w:shd w:val="clear" w:color="auto" w:fill="3B4259"/>
          </w:tcPr>
          <w:p>
            <w:r>
              <w:rPr>
                <w:rFonts w:ascii="Calibri" w:hAnsi="Calibri"/>
                <w:b/>
                <w:color w:val="FFFFFF"/>
                <w:sz w:val="22"/>
              </w:rPr>
              <w:t>Shares</w:t>
            </w:r>
          </w:p>
        </w:tc>
        <w:tc>
          <w:tcPr>
            <w:tcW w:type="dxa" w:w="1234"/>
            <w:shd w:val="clear" w:color="auto" w:fill="3B4259"/>
          </w:tcPr>
          <w:p>
            <w:r>
              <w:rPr>
                <w:rFonts w:ascii="Calibri" w:hAnsi="Calibri"/>
                <w:b/>
                <w:color w:val="FFFFFF"/>
                <w:sz w:val="22"/>
              </w:rPr>
              <w:t>Value (Est.)</w:t>
            </w:r>
          </w:p>
        </w:tc>
        <w:tc>
          <w:tcPr>
            <w:tcW w:type="dxa" w:w="1234"/>
            <w:shd w:val="clear" w:color="auto" w:fill="3B4259"/>
          </w:tcPr>
          <w:p>
            <w:r>
              <w:rPr>
                <w:rFonts w:ascii="Calibri" w:hAnsi="Calibri"/>
                <w:b/>
                <w:color w:val="FFFFFF"/>
                <w:sz w:val="22"/>
              </w:rPr>
              <w:t>Date</w:t>
            </w:r>
          </w:p>
        </w:tc>
        <w:tc>
          <w:tcPr>
            <w:tcW w:type="dxa" w:w="1234"/>
            <w:shd w:val="clear" w:color="auto" w:fill="3B4259"/>
          </w:tcPr>
          <w:p>
            <w:r>
              <w:rPr>
                <w:rFonts w:ascii="Calibri" w:hAnsi="Calibri"/>
                <w:b/>
                <w:color w:val="FFFFFF"/>
                <w:sz w:val="22"/>
              </w:rPr>
              <w:t>Note</w:t>
            </w:r>
          </w:p>
        </w:tc>
      </w:tr>
      <w:tr>
        <w:tc>
          <w:tcPr>
            <w:tcW w:type="dxa" w:w="1234"/>
          </w:tcPr>
          <w:p>
            <w:r>
              <w:rPr>
                <w:rFonts w:ascii="Calibri" w:hAnsi="Calibri"/>
                <w:sz w:val="22"/>
              </w:rPr>
              <w:t>Thomas W. Toomey</w:t>
            </w:r>
          </w:p>
        </w:tc>
        <w:tc>
          <w:tcPr>
            <w:tcW w:type="dxa" w:w="1234"/>
          </w:tcPr>
          <w:p>
            <w:r>
              <w:rPr>
                <w:rFonts w:ascii="Calibri" w:hAnsi="Calibri"/>
                <w:sz w:val="22"/>
              </w:rPr>
              <w:t>Chairman, President &amp; CEO</w:t>
            </w:r>
          </w:p>
        </w:tc>
        <w:tc>
          <w:tcPr>
            <w:tcW w:type="dxa" w:w="1234"/>
          </w:tcPr>
          <w:p>
            <w:r>
              <w:rPr>
                <w:rFonts w:ascii="Calibri" w:hAnsi="Calibri"/>
                <w:sz w:val="22"/>
              </w:rPr>
              <w:t>Open Market Sale</w:t>
            </w:r>
          </w:p>
        </w:tc>
        <w:tc>
          <w:tcPr>
            <w:tcW w:type="dxa" w:w="1234"/>
          </w:tcPr>
          <w:p>
            <w:r>
              <w:rPr>
                <w:rFonts w:ascii="Calibri" w:hAnsi="Calibri"/>
                <w:sz w:val="22"/>
              </w:rPr>
              <w:t>80,000</w:t>
            </w:r>
          </w:p>
        </w:tc>
        <w:tc>
          <w:tcPr>
            <w:tcW w:type="dxa" w:w="1234"/>
          </w:tcPr>
          <w:p>
            <w:r>
              <w:rPr>
                <w:rFonts w:ascii="Calibri" w:hAnsi="Calibri"/>
                <w:sz w:val="22"/>
              </w:rPr>
              <w:t>~$3.1M</w:t>
            </w:r>
          </w:p>
        </w:tc>
        <w:tc>
          <w:tcPr>
            <w:tcW w:type="dxa" w:w="1234"/>
          </w:tcPr>
          <w:p>
            <w:r>
              <w:rPr>
                <w:rFonts w:ascii="Calibri" w:hAnsi="Calibri"/>
                <w:sz w:val="22"/>
              </w:rPr>
              <w:t>June 5, 2026</w:t>
            </w:r>
          </w:p>
        </w:tc>
        <w:tc>
          <w:tcPr>
            <w:tcW w:type="dxa" w:w="1234"/>
          </w:tcPr>
          <w:p>
            <w:r>
              <w:rPr>
                <w:rFonts w:ascii="Calibri" w:hAnsi="Calibri"/>
                <w:sz w:val="22"/>
              </w:rPr>
              <w:t>Discretionary sale; NOT under 10b5-1 plan. Remaining position: 810,455 shares (~$32M). Filed June 8, 2026.</w:t>
            </w:r>
          </w:p>
        </w:tc>
      </w:tr>
    </w:tbl>
    <w:p>
      <w:r>
        <w:rPr>
          <w:rFonts w:ascii="Calibri" w:hAnsi="Calibri"/>
          <w:i/>
          <w:color w:val="525866"/>
          <w:sz w:val="22"/>
        </w:rPr>
        <w:t>Source: SEC Form 4 Filing — Thomas W. Toomey (UDR), filed June 8, 2026 (transaction date June 5, 2026). Insider Transaction Data (SEC EDGAR).</w:t>
      </w:r>
      <w:r>
        <w:rPr>
          <w:rFonts w:ascii="Calibri" w:hAnsi="Calibri"/>
          <w:i/>
          <w:color w:val="525866"/>
          <w:sz w:val="22"/>
        </w:rPr>
        <w:t xml:space="preserve"> The CEO sale occurred at approximately $39.20/share (estimated based on filing date price), representing a ~8.5% premium to the Q1 earnings date price of $36.16. The sale may reflect personal liquidity needs or portfolio diversification rather than a negative view on the company, but the absence of a 10b5-1 plan means it was a discretionary decision. No other insiders have transacted in the post-Q1 window.</w:t>
      </w:r>
    </w:p>
    <w:p>
      <w:r>
        <w:br w:type="page"/>
      </w:r>
    </w:p>
    <w:p>
      <w:pPr>
        <w:pStyle w:val="Heading2"/>
      </w:pPr>
      <w:r>
        <w:rPr>
          <w:rFonts w:ascii="Calibri" w:hAnsi="Calibri"/>
          <w:b/>
          <w:color w:val="3B4259"/>
          <w:sz w:val="28"/>
        </w:rPr>
        <w:t>9. Key Risks &amp; Questions for the Call</w:t>
      </w:r>
    </w:p>
    <w:p>
      <w:pPr>
        <w:pStyle w:val="Heading3"/>
      </w:pPr>
      <w:r>
        <w:rPr>
          <w:rFonts w:ascii="Calibri" w:hAnsi="Calibri"/>
          <w:b/>
          <w:color w:val="3B4259"/>
          <w:sz w:val="24"/>
        </w:rPr>
        <w:t>Key Risks</w:t>
      </w:r>
    </w:p>
    <w:p>
      <w:pPr>
        <w:pStyle w:val="ListBullet"/>
        <w:ind w:left="360" w:hanging="360"/>
      </w:pPr>
      <w:r>
        <w:rPr>
          <w:rFonts w:ascii="Calibri" w:hAnsi="Calibri"/>
          <w:b/>
          <w:color w:val="525866"/>
          <w:sz w:val="22"/>
        </w:rPr>
        <w:t xml:space="preserve">Sunbelt Softness Persists Beyond April: </w:t>
      </w:r>
      <w:r>
        <w:rPr>
          <w:rFonts w:ascii="Calibri" w:hAnsi="Calibri"/>
          <w:color w:val="525866"/>
          <w:sz w:val="22"/>
        </w:rPr>
        <w:t>Management flagged that some Sunbelt markets retreated ~100 bps in April (from −1.5% to −2.5% blended). If this softness extended through May–June rather than reversing, Q2 same-store revenue could miss the ~0.97% consensus estimate. This is the primary downside risk to the print.</w:t>
      </w:r>
    </w:p>
    <w:p>
      <w:pPr>
        <w:pStyle w:val="ListBullet"/>
        <w:ind w:left="360" w:hanging="360"/>
      </w:pPr>
      <w:r>
        <w:rPr>
          <w:rFonts w:ascii="Calibri" w:hAnsi="Calibri"/>
          <w:b/>
          <w:color w:val="525866"/>
          <w:sz w:val="22"/>
        </w:rPr>
        <w:t xml:space="preserve">Expense Normalization Slower Than Expected: </w:t>
      </w:r>
      <w:r>
        <w:rPr>
          <w:rFonts w:ascii="Calibri" w:hAnsi="Calibri"/>
          <w:color w:val="525866"/>
          <w:sz w:val="22"/>
        </w:rPr>
        <w:t>Q1 same-store expenses grew 4.4% YoY, elevated by ~$1.4M of weather-related costs. If underlying expense growth is running above the 3.75% FY guidance midpoint (excluding weather), Q2 NOI could disappoint even with revenue in line.</w:t>
      </w:r>
    </w:p>
    <w:p>
      <w:pPr>
        <w:pStyle w:val="ListBullet"/>
        <w:ind w:left="360" w:hanging="360"/>
      </w:pPr>
      <w:r>
        <w:rPr>
          <w:rFonts w:ascii="Calibri" w:hAnsi="Calibri"/>
          <w:b/>
          <w:color w:val="525866"/>
          <w:sz w:val="22"/>
        </w:rPr>
        <w:t xml:space="preserve">Rent Control Regulatory Risk: </w:t>
      </w:r>
      <w:r>
        <w:rPr>
          <w:rFonts w:ascii="Calibri" w:hAnsi="Calibri"/>
          <w:color w:val="525866"/>
          <w:sz w:val="22"/>
        </w:rPr>
        <w:t>Boston ballot measure outcome could materially affect NOI in that market. UDR has contributed ~$0.5M to oppose the measure and expects to contribute more. An adverse outcome would require guidance revision.</w:t>
      </w:r>
    </w:p>
    <w:p>
      <w:pPr>
        <w:pStyle w:val="ListBullet"/>
        <w:ind w:left="360" w:hanging="360"/>
      </w:pPr>
      <w:r>
        <w:rPr>
          <w:rFonts w:ascii="Calibri" w:hAnsi="Calibri"/>
          <w:b/>
          <w:color w:val="525866"/>
          <w:sz w:val="22"/>
        </w:rPr>
        <w:t xml:space="preserve">CEO Discretionary Sale: </w:t>
      </w:r>
      <w:r>
        <w:rPr>
          <w:rFonts w:ascii="Calibri" w:hAnsi="Calibri"/>
          <w:color w:val="525866"/>
          <w:sz w:val="22"/>
        </w:rPr>
        <w:t>The June 5 open-market sale of 80,000 shares by CEO Toomey (not under a 10b5-1 plan) is a mild negative signal, particularly given management’s own characterization of the stock as trading at a significant discount to NAV.</w:t>
      </w:r>
    </w:p>
    <w:p>
      <w:pPr>
        <w:pStyle w:val="ListBullet"/>
        <w:ind w:left="360" w:hanging="360"/>
      </w:pPr>
      <w:r>
        <w:rPr>
          <w:rFonts w:ascii="Calibri" w:hAnsi="Calibri"/>
          <w:b/>
          <w:color w:val="525866"/>
          <w:sz w:val="22"/>
        </w:rPr>
        <w:t xml:space="preserve">AVB/EQR Merger Competitive Impact: </w:t>
      </w:r>
      <w:r>
        <w:rPr>
          <w:rFonts w:ascii="Calibri" w:hAnsi="Calibri"/>
          <w:color w:val="525866"/>
          <w:sz w:val="22"/>
        </w:rPr>
        <w:t>The combined entity will have significantly greater scale in shared coastal markets. While near-term impact is limited, the long-term competitive implications for UDR’s acquisition pipeline and tenant competition are uncertain.</w:t>
      </w:r>
    </w:p>
    <w:p>
      <w:pPr>
        <w:pStyle w:val="ListBullet"/>
        <w:ind w:left="360" w:hanging="360"/>
      </w:pPr>
      <w:r>
        <w:rPr>
          <w:rFonts w:ascii="Calibri" w:hAnsi="Calibri"/>
          <w:b/>
          <w:color w:val="525866"/>
          <w:sz w:val="22"/>
        </w:rPr>
        <w:t xml:space="preserve">Multiple Already Expanded: </w:t>
      </w:r>
      <w:r>
        <w:rPr>
          <w:rFonts w:ascii="Calibri" w:hAnsi="Calibri"/>
          <w:color w:val="525866"/>
          <w:sz w:val="22"/>
        </w:rPr>
        <w:t>UDR’s EV/EBITDA has expanded from ~17.2x to ~18.5x over the past 3 months. With estimates flat to slightly negative, further re-rating requires either a guidance raise or a broader sector re-rating.</w:t>
      </w:r>
    </w:p>
    <w:p>
      <w:pPr>
        <w:pStyle w:val="Heading3"/>
      </w:pPr>
      <w:r>
        <w:rPr>
          <w:rFonts w:ascii="Calibri" w:hAnsi="Calibri"/>
          <w:b/>
          <w:color w:val="3B4259"/>
          <w:sz w:val="24"/>
        </w:rPr>
        <w:t>Key Questions for the Q2 2026 Earnings Call (July 28, 2026)</w:t>
      </w:r>
    </w:p>
    <w:p>
      <w:pPr>
        <w:pStyle w:val="ListNumber"/>
        <w:ind w:left="360" w:hanging="360"/>
      </w:pPr>
      <w:r>
        <w:rPr>
          <w:rFonts w:ascii="Calibri" w:hAnsi="Calibri"/>
          <w:b/>
          <w:color w:val="525866"/>
          <w:sz w:val="22"/>
        </w:rPr>
        <w:t xml:space="preserve">Sunbelt Trajectory: </w:t>
      </w:r>
      <w:r>
        <w:rPr>
          <w:rFonts w:ascii="Calibri" w:hAnsi="Calibri"/>
          <w:color w:val="525866"/>
          <w:sz w:val="22"/>
        </w:rPr>
        <w:t>Did the April Sunbelt softness (blends retreating to −2.5%) reverse in May–June? What are current blended lease rates in Dallas, Nashville, and Florida markets? Is the Sunbelt inflection still expected in 2026?</w:t>
      </w:r>
    </w:p>
    <w:p>
      <w:pPr>
        <w:pStyle w:val="ListNumber"/>
        <w:ind w:left="360" w:hanging="360"/>
      </w:pPr>
      <w:r>
        <w:rPr>
          <w:rFonts w:ascii="Calibri" w:hAnsi="Calibri"/>
          <w:b/>
          <w:color w:val="525866"/>
          <w:sz w:val="22"/>
        </w:rPr>
        <w:t xml:space="preserve">Guidance Raise Potential: </w:t>
      </w:r>
      <w:r>
        <w:rPr>
          <w:rFonts w:ascii="Calibri" w:hAnsi="Calibri"/>
          <w:color w:val="525866"/>
          <w:sz w:val="22"/>
        </w:rPr>
        <w:t>Given EQR and AVB both raised FY SS revenue and NOI guidance, is UDR prepared to raise its own FY 2026 guidance? What would need to happen in H2 to move the midpoints?</w:t>
      </w:r>
    </w:p>
    <w:p>
      <w:pPr>
        <w:pStyle w:val="ListNumber"/>
        <w:ind w:left="360" w:hanging="360"/>
      </w:pPr>
      <w:r>
        <w:rPr>
          <w:rFonts w:ascii="Calibri" w:hAnsi="Calibri"/>
          <w:b/>
          <w:color w:val="525866"/>
          <w:sz w:val="22"/>
        </w:rPr>
        <w:t xml:space="preserve">Share Repurchase Activity: </w:t>
      </w:r>
      <w:r>
        <w:rPr>
          <w:rFonts w:ascii="Calibri" w:hAnsi="Calibri"/>
          <w:color w:val="525866"/>
          <w:sz w:val="22"/>
        </w:rPr>
        <w:t>How much stock was repurchased in Q2 2026? What is the current pace of buybacks, and how does management think about the trade-off between buybacks and acquisitions at current prices?</w:t>
      </w:r>
    </w:p>
    <w:p>
      <w:pPr>
        <w:pStyle w:val="ListNumber"/>
        <w:ind w:left="360" w:hanging="360"/>
      </w:pPr>
      <w:r>
        <w:rPr>
          <w:rFonts w:ascii="Calibri" w:hAnsi="Calibri"/>
          <w:b/>
          <w:color w:val="525866"/>
          <w:sz w:val="22"/>
        </w:rPr>
        <w:t xml:space="preserve">Portland Acquisitions: </w:t>
      </w:r>
      <w:r>
        <w:rPr>
          <w:rFonts w:ascii="Calibri" w:hAnsi="Calibri"/>
          <w:color w:val="525866"/>
          <w:sz w:val="22"/>
        </w:rPr>
        <w:t>Has the second Portland community been acquired? What is the expected stabilized yield and timeline to full occupancy?</w:t>
      </w:r>
    </w:p>
    <w:p>
      <w:pPr>
        <w:pStyle w:val="ListNumber"/>
        <w:ind w:left="360" w:hanging="360"/>
      </w:pPr>
      <w:r>
        <w:rPr>
          <w:rFonts w:ascii="Calibri" w:hAnsi="Calibri"/>
          <w:b/>
          <w:color w:val="525866"/>
          <w:sz w:val="22"/>
        </w:rPr>
        <w:t xml:space="preserve">Monthly Dividend Impact: </w:t>
      </w:r>
      <w:r>
        <w:rPr>
          <w:rFonts w:ascii="Calibri" w:hAnsi="Calibri"/>
          <w:color w:val="525866"/>
          <w:sz w:val="22"/>
        </w:rPr>
        <w:t>What has been the investor response to the monthly dividend transition? Has UDR seen meaningful new retail or high-net-worth investor interest since the announcement?</w:t>
      </w:r>
    </w:p>
    <w:p>
      <w:pPr>
        <w:pStyle w:val="ListNumber"/>
        <w:ind w:left="360" w:hanging="360"/>
      </w:pPr>
      <w:r>
        <w:rPr>
          <w:rFonts w:ascii="Calibri" w:hAnsi="Calibri"/>
          <w:b/>
          <w:color w:val="525866"/>
          <w:sz w:val="22"/>
        </w:rPr>
        <w:t xml:space="preserve">Expense Outlook: </w:t>
      </w:r>
      <w:r>
        <w:rPr>
          <w:rFonts w:ascii="Calibri" w:hAnsi="Calibri"/>
          <w:color w:val="525866"/>
          <w:sz w:val="22"/>
        </w:rPr>
        <w:t>With Q1 expenses elevated by weather, what is the underlying expense run rate? Is the 3.75% FY midpoint still the right assumption, or is there upside/downside risk?</w:t>
      </w:r>
    </w:p>
    <w:p>
      <w:pPr>
        <w:pStyle w:val="ListNumber"/>
        <w:ind w:left="360" w:hanging="360"/>
      </w:pPr>
      <w:r>
        <w:rPr>
          <w:rFonts w:ascii="Calibri" w:hAnsi="Calibri"/>
          <w:b/>
          <w:color w:val="525866"/>
          <w:sz w:val="22"/>
        </w:rPr>
        <w:t xml:space="preserve">AVB/EQR Merger Implications: </w:t>
      </w:r>
      <w:r>
        <w:rPr>
          <w:rFonts w:ascii="Calibri" w:hAnsi="Calibri"/>
          <w:color w:val="525866"/>
          <w:sz w:val="22"/>
        </w:rPr>
        <w:t>Does the merger create any near-term acquisition opportunities for UDR in shared markets? How does management think about the competitive landscape post-merger?</w:t>
      </w:r>
    </w:p>
    <w:p>
      <w:pPr>
        <w:pStyle w:val="ListNumber"/>
        <w:ind w:left="360" w:hanging="360"/>
      </w:pPr>
      <w:r>
        <w:rPr>
          <w:rFonts w:ascii="Calibri" w:hAnsi="Calibri"/>
          <w:b/>
          <w:color w:val="525866"/>
          <w:sz w:val="22"/>
        </w:rPr>
        <w:t xml:space="preserve">Regulatory Update: </w:t>
      </w:r>
      <w:r>
        <w:rPr>
          <w:rFonts w:ascii="Calibri" w:hAnsi="Calibri"/>
          <w:color w:val="525866"/>
          <w:sz w:val="22"/>
        </w:rPr>
        <w:t>What is the latest status of the Boston rent control ballot measure? Has UDR quantified the potential NOI impact if the measure passes?</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rPr>
      <w:rFonts w:ascii="Calibri" w:hAnsi="Calibri"/>
      <w:sz w:val="22"/>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