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hs-earnings-predictions--2026-07-27"/>
    <w:p>
      <w:pPr>
        <w:pStyle w:val="Heading1"/>
      </w:pPr>
      <w:r>
        <w:t xml:space="preserve">UHS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~$5.85 vs. cons $5.66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~$4.55B vs. cons $4.52B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Acute Care same-facility adjusted admissions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~+1.0% vs. cons +2.8%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~$23.35 (range $23.25-23.50) vs. cons $23.44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~$18.5B vs. cons $18.54B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ACA exchange subsidy pretax headwind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~$90M vs. prior guide $75M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(ex-DPP) EBITDA growth target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~reaffirmed +5% vs. prior/consensus-implied +5%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UHS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(STABILIZE)</w:t>
            </w:r>
          </w:p>
        </w:tc>
        <w:tc>
          <w:tcPr/>
          <w:p>
            <w:pPr>
              <w:pStyle w:val="Compact"/>
            </w:pPr>
            <w:r>
              <w:t xml:space="preserve">Prior two prints (Q4'25 -11.4%, Q1'26 -9.5%) showed diverging 5-day behavior: Q4 saw continued sell-side estimate cuts and follow-through (~-6% more into day5) as core/DPP quality concerns spread, while Q1 stabilized within days (residual flattened to ~0% by day5) once the initial repricing captured the core-growth/ACA skepticism. Heading into Q2, expectations are already de-risked (Zacks Rank #4, 0% ESP, stock down ~30% YTD, up 6.4% into the print), a modestly worse ACA headwind guide and still-soft core volumes are largely anticipated rather than a fresh negative surprise, and constructive peer prints (HCA, THC) plus ongoing buybacks at depressed prices should limit incremental post-print estimate cuts, favoring stabilization over cascading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2026-07-27T00:26:44Z</dcterms:created>
  <dcterms:modified xsi:type="dcterms:W3CDTF">2026-07-27T00:26:44Z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