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8" w:name="Xc1b8c2897f7767d4f6fb3b3a0403a0a3bca1896"/>
    <w:p>
      <w:pPr>
        <w:pStyle w:val="Heading1"/>
      </w:pPr>
      <w:r>
        <w:t xml:space="preserve">Universal Health Services (UHS) – Q2 2026 Earnings Preview</w:t>
      </w:r>
    </w:p>
    <w:p>
      <w:pPr>
        <w:pStyle w:val="FirstParagraph"/>
      </w:pPr>
      <w:r>
        <w:rPr>
          <w:b/>
          <w:bCs/>
        </w:rPr>
        <w:t xml:space="preserve">Report date:</w:t>
      </w:r>
      <w:r>
        <w:t xml:space="preserve"> </w:t>
      </w:r>
      <w:r>
        <w:t xml:space="preserve">After market close, Monday, July 27, 2026 |</w:t>
      </w:r>
      <w:r>
        <w:t xml:space="preserve"> </w:t>
      </w:r>
      <w:r>
        <w:rPr>
          <w:b/>
          <w:bCs/>
        </w:rPr>
        <w:t xml:space="preserve">Call:</w:t>
      </w:r>
      <w:r>
        <w:t xml:space="preserve"> </w:t>
      </w:r>
      <w:r>
        <w:t xml:space="preserve">Tuesday, July 28, 9:00 a.m. ET</w:t>
      </w:r>
    </w:p>
    <w:p>
      <w:r>
        <w:pict>
          <v:rect style="width:0;height:1.5pt" o:hralign="center" o:hrstd="t" o:hr="t"/>
        </w:pict>
      </w:r>
    </w:p>
    <w:bookmarkStart w:id="9" w:name="setup-a-stock-that-cant-catch-a-break"/>
    <w:p>
      <w:pPr>
        <w:pStyle w:val="Heading2"/>
      </w:pPr>
      <w:r>
        <w:t xml:space="preserve">Setup: A Stock That Can't Catch a Break</w:t>
      </w:r>
    </w:p>
    <w:p>
      <w:pPr>
        <w:pStyle w:val="FirstParagraph"/>
      </w:pPr>
      <w:r>
        <w:t xml:space="preserve">UHS enters this print in an unusual spot for a company whose underlying business has been performing reasonably well: the stock is down sharply YTD even as headline results have generally topped estimates. Shares have fallen from roughly</w:t>
      </w:r>
      <w:r>
        <w:t xml:space="preserve"> </w:t>
      </w:r>
      <m:oMath>
        <m:r>
          <m:t>220</m:t>
        </m:r>
        <m:r>
          <m:t>i</m:t>
        </m:r>
        <m:r>
          <m:t>n</m:t>
        </m:r>
        <m:r>
          <m:t>e</m:t>
        </m:r>
        <m:r>
          <m:t>a</m:t>
        </m:r>
        <m:r>
          <m:t>r</m:t>
        </m:r>
        <m:r>
          <m:t>l</m:t>
        </m:r>
        <m:r>
          <m:t>y</m:t>
        </m:r>
        <m:r>
          <m:t>J</m:t>
        </m:r>
        <m:r>
          <m:t>a</m:t>
        </m:r>
        <m:r>
          <m:t>n</m:t>
        </m:r>
        <m:r>
          <m:t>u</m:t>
        </m:r>
        <m:r>
          <m:t>a</m:t>
        </m:r>
        <m:r>
          <m:t>r</m:t>
        </m:r>
        <m:r>
          <m:t>y</m:t>
        </m:r>
        <m:r>
          <m:t>t</m:t>
        </m:r>
        <m:r>
          <m:t>o</m:t>
        </m:r>
        <m:r>
          <m:t>t</m:t>
        </m:r>
        <m:r>
          <m:t>h</m:t>
        </m:r>
        <m:r>
          <m:t>e</m:t>
        </m:r>
        <m:r>
          <m:t>m</m:t>
        </m:r>
        <m:r>
          <m:t>i</m:t>
        </m:r>
        <m:r>
          <m:t>d</m:t>
        </m:r>
        <m:r>
          <m:rPr>
            <m:sty m:val="p"/>
          </m:rPr>
          <m:t>−</m:t>
        </m:r>
      </m:oMath>
      <w:r>
        <w:t xml:space="preserve">150s heading into the print — a decline of roughly a third — despite two consecutive quarters of EPS beats. Over the past few months, UHS reported strong 2025 financial results with net income of $1.489B and net revenues of $17.365B, yet the stock fell 11.44% after the Q4 earnings release on Feb 25, 2026. The pattern repeated in Q1: despite UHS reporting better-than-expected Q1 results, the stock dropped by 9.5% intraday on Apr. 28.</w:t>
      </w:r>
    </w:p>
    <w:p>
      <w:pPr>
        <w:pStyle w:val="BodyText"/>
      </w:pPr>
      <w:r>
        <w:t xml:space="preserve">The market's message has been consistent: investors are looking past the reported "beats" and focusing on</w:t>
      </w:r>
      <w:r>
        <w:t xml:space="preserve"> </w:t>
      </w:r>
      <w:r>
        <w:rPr>
          <w:b/>
          <w:bCs/>
        </w:rPr>
        <w:t xml:space="preserve">core, non-DPP (disproportionate share/supplemental Medicaid payment) growth</w:t>
      </w:r>
      <w:r>
        <w:t xml:space="preserve">, which has been running well below headline growth, plus mounting concern about ACA exchange subsidy runoff, labor cost inflation in behavioral health, and integration risk from the pending Talkspace deal.</w:t>
      </w:r>
    </w:p>
    <w:p>
      <w:pPr>
        <w:pStyle w:val="BodyText"/>
      </w:pPr>
      <w:r>
        <w:t xml:space="preserve">Heading into Wednesday's report, Universal Health Services is up 6.4% [over the past month] and is heading into earnings with an average analyst price target of $205.24 (compared to the current share price of $155.81) — a large valuation gap that underscores the disconnect between Street price targets and where the stock actually trades.</w:t>
      </w:r>
    </w:p>
    <w:p>
      <w:r>
        <w:pict>
          <v:rect style="width:0;height:1.5pt" o:hralign="center" o:hrstd="t" o:hr="t"/>
        </w:pict>
      </w:r>
    </w:p>
    <w:bookmarkEnd w:id="9"/>
    <w:bookmarkStart w:id="10" w:name="consensus-expectations-for-q2-2026"/>
    <w:p>
      <w:pPr>
        <w:pStyle w:val="Heading2"/>
      </w:pPr>
      <w:r>
        <w:t xml:space="preserve">Consensus Expectations for Q2 2026</w:t>
      </w:r>
    </w:p>
    <w:p>
      <w:pPr>
        <w:pStyle w:val="Compact"/>
        <w:numPr>
          <w:ilvl w:val="0"/>
          <w:numId w:val="1001"/>
        </w:numPr>
      </w:pPr>
      <w:r>
        <w:rPr>
          <w:b/>
          <w:bCs/>
        </w:rPr>
        <w:t xml:space="preserve">EPS:</w:t>
      </w:r>
      <w:r>
        <w:t xml:space="preserve"> </w:t>
      </w:r>
      <w:r>
        <w:t xml:space="preserve">The Zacks Consensus Estimate for the to-be-reported quarter's earnings is currently pegged at $5.66 per share on revenues of $4.52 billion... The bottom-line projection indicates a year-over-year increase of 5.8%.</w:t>
      </w:r>
    </w:p>
    <w:p>
      <w:pPr>
        <w:pStyle w:val="Compact"/>
        <w:numPr>
          <w:ilvl w:val="0"/>
          <w:numId w:val="1001"/>
        </w:numPr>
      </w:pPr>
      <w:r>
        <w:rPr>
          <w:b/>
          <w:bCs/>
        </w:rPr>
        <w:t xml:space="preserve">Revenue growth deceleration:</w:t>
      </w:r>
      <w:r>
        <w:t xml:space="preserve"> </w:t>
      </w:r>
      <w:r>
        <w:t xml:space="preserve">The market is expecting Universal Health Services's revenue to grow 7.1% year on year, slowing from the 9.6% increase it recorded in the same quarter last year.</w:t>
      </w:r>
    </w:p>
    <w:p>
      <w:pPr>
        <w:pStyle w:val="Compact"/>
        <w:numPr>
          <w:ilvl w:val="0"/>
          <w:numId w:val="1001"/>
        </w:numPr>
      </w:pPr>
      <w:r>
        <w:rPr>
          <w:b/>
          <w:bCs/>
        </w:rPr>
        <w:t xml:space="preserve">Segment detail:</w:t>
      </w:r>
      <w:r>
        <w:t xml:space="preserve"> </w:t>
      </w:r>
      <w:r>
        <w:t xml:space="preserve">The Zacks Consensus Estimate for net revenues in the Acute Care Hospital Services segment is pegged at almost $2.55 billion, indicating 6.1% year-over-year growth. The consensus mark for the unit's same-facility adjusted admissions indicates 2.8% growth from the prior-year quarter. The Zacks Consensus Estimate for net revenues in the Behavioral Health Care Services segment is pegged at $1.98 billion, indicating a 5.6% increase from the prior-year quarter. The consensus estimate for the unit's admissions indicates a year-over-year increase of 2.8%.</w:t>
      </w:r>
    </w:p>
    <w:p>
      <w:pPr>
        <w:pStyle w:val="Compact"/>
        <w:numPr>
          <w:ilvl w:val="0"/>
          <w:numId w:val="1001"/>
        </w:numPr>
      </w:pPr>
      <w:r>
        <w:rPr>
          <w:b/>
          <w:bCs/>
        </w:rPr>
        <w:t xml:space="preserve">Full-year 2026:</w:t>
      </w:r>
      <w:r>
        <w:t xml:space="preserve"> </w:t>
      </w:r>
      <w:r>
        <w:t xml:space="preserve">The Zacks Consensus Estimate for Universal Health's revenues is pegged at $18.54 billion, implying a rise of 6.8% year over year. Meanwhile, the consensus mark for full-year EPS is pegged at $23.44, implying growth of 7.8% on a year-over-year basis.</w:t>
      </w:r>
    </w:p>
    <w:p>
      <w:pPr>
        <w:pStyle w:val="Compact"/>
        <w:numPr>
          <w:ilvl w:val="0"/>
          <w:numId w:val="1001"/>
        </w:numPr>
      </w:pPr>
      <w:r>
        <w:rPr>
          <w:b/>
          <w:bCs/>
        </w:rPr>
        <w:t xml:space="preserve">Track record:</w:t>
      </w:r>
      <w:r>
        <w:t xml:space="preserve"> </w:t>
      </w:r>
      <w:r>
        <w:t xml:space="preserve">Universal Health beat the consensus estimate for earnings in three of the last four quarters and missed once, with the average surprise being 9.5%. Estimates have been stable into the print — the second-quarter earnings estimate witnessed no movement over the past 60 days.</w:t>
      </w:r>
    </w:p>
    <w:p>
      <w:pPr>
        <w:pStyle w:val="Compact"/>
        <w:numPr>
          <w:ilvl w:val="0"/>
          <w:numId w:val="1001"/>
        </w:numPr>
      </w:pPr>
      <w:r>
        <w:rPr>
          <w:b/>
          <w:bCs/>
        </w:rPr>
        <w:t xml:space="preserve">Sentiment:</w:t>
      </w:r>
      <w:r>
        <w:t xml:space="preserve"> </w:t>
      </w:r>
      <w:r>
        <w:t xml:space="preserve">Despite the beat history, UHS currently has an Earnings ESP of 0.00% and a Zacks Rank #4 (Sell).</w:t>
      </w:r>
    </w:p>
    <w:p>
      <w:r>
        <w:pict>
          <v:rect style="width:0;height:1.5pt" o:hralign="center" o:hrstd="t" o:hr="t"/>
        </w:pict>
      </w:r>
    </w:p>
    <w:bookmarkEnd w:id="10"/>
    <w:bookmarkStart w:id="11" w:name="Xfc939e8793789e98337b6ac39844465e48ac3ab"/>
    <w:p>
      <w:pPr>
        <w:pStyle w:val="Heading2"/>
      </w:pPr>
      <w:r>
        <w:t xml:space="preserve">What Happened Last Quarter (Q1 2026) — The Base Case Investors Are Working From</w:t>
      </w:r>
    </w:p>
    <w:p>
      <w:pPr>
        <w:pStyle w:val="FirstParagraph"/>
      </w:pPr>
      <w:r>
        <w:t xml:space="preserve">UHS beat Q1 estimates comfortably: net revenues rose 9.6% to $4.495 billion, adjusted EPS grew 16.1% year-over-year to $5.62, and adjusted EBITDA net of NCI rose 8.4%. However, management and analysts spent much of the call parsing how much of that growth was "real" (core) versus driven by one-time Medicaid supplemental payment (DPP) catch-ups. CFO Steve Filton acknowledged on the call that core acute care EBITDA growth, stripped of DPP and other timing items, was actually running negative in the quarter (management didn't dispute an analyst's estimate of roughly -5% to -6% core EBITDA), while reiterating full-year guidance calls for ~5% core earnings growth — implying a significant ramp is required in the back half of 2026.</w:t>
      </w:r>
    </w:p>
    <w:p>
      <w:pPr>
        <w:pStyle w:val="BodyText"/>
      </w:pPr>
      <w:r>
        <w:t xml:space="preserve">Key threads carried into Q2:</w:t>
      </w:r>
    </w:p>
    <w:p>
      <w:pPr>
        <w:numPr>
          <w:ilvl w:val="0"/>
          <w:numId w:val="1002"/>
        </w:numPr>
      </w:pPr>
      <w:r>
        <w:rPr>
          <w:b/>
          <w:bCs/>
        </w:rPr>
        <w:t xml:space="preserve">DPP normalization</w:t>
      </w:r>
      <w:r>
        <w:t xml:space="preserve"> </w:t>
      </w:r>
      <w:r>
        <w:t xml:space="preserve">— Q1 benefited from ~</w:t>
      </w:r>
      <w:r>
        <w:t xml:space="preserve">$46 million of out-of-period Nevada/Ohio Medicaid supplemental payments; management said this was within guidance and the "run rate" for the rest of the year should exclude that benefit. Investors will want to see the Q2 DPP tally and progress on Florida's pending 2025 supplemental program (management pegged this at a ~$</w:t>
      </w:r>
      <w:r>
        <w:t xml:space="preserve">50 million benefit once approved, potentially higher) and the more uncertain California program.</w:t>
      </w:r>
    </w:p>
    <w:p>
      <w:pPr>
        <w:numPr>
          <w:ilvl w:val="0"/>
          <w:numId w:val="1002"/>
        </w:numPr>
      </w:pPr>
      <w:r>
        <w:rPr>
          <w:b/>
          <w:bCs/>
        </w:rPr>
        <w:t xml:space="preserve">ACA exchange subsidy runoff</w:t>
      </w:r>
      <w:r>
        <w:t xml:space="preserve"> </w:t>
      </w:r>
      <w:r>
        <w:t xml:space="preserve">— Management is holding to a full-year ~$75 million pre-tax headwind from expiring ACA premium subsidies, assuming exchange enrollment losses of 25–30% for the year (Q1 showed a reported 5% decline, but management believes the "true" decline including patients who will fail to pay premiums is closer to 10–12%). Q2 should show this trend deepening — a key swing factor for bad debt/uncompensated care.</w:t>
      </w:r>
    </w:p>
    <w:p>
      <w:pPr>
        <w:numPr>
          <w:ilvl w:val="0"/>
          <w:numId w:val="1002"/>
        </w:numPr>
      </w:pPr>
      <w:r>
        <w:rPr>
          <w:b/>
          <w:bCs/>
        </w:rPr>
        <w:t xml:space="preserve">Volume recovery</w:t>
      </w:r>
      <w:r>
        <w:t xml:space="preserve"> </w:t>
      </w:r>
      <w:r>
        <w:t xml:space="preserve">— Q1 acute care admissions were flat, dragged down by weak flu season and winter storms (~200bps impact); behavioral health growth hit the low end of the 2–3% target range. Management guided to volume improvement and more balanced pricing/volume contribution as the year progresses — Q2 is an early test of that call.</w:t>
      </w:r>
    </w:p>
    <w:p>
      <w:pPr>
        <w:numPr>
          <w:ilvl w:val="0"/>
          <w:numId w:val="1002"/>
        </w:numPr>
      </w:pPr>
      <w:r>
        <w:rPr>
          <w:b/>
          <w:bCs/>
        </w:rPr>
        <w:t xml:space="preserve">Labor cost trends</w:t>
      </w:r>
      <w:r>
        <w:t xml:space="preserve"> </w:t>
      </w:r>
      <w:r>
        <w:t xml:space="preserve">— Behavioral health wage growth moderated to 6–7% in Q1 from 8% in 2025, with management expecting further moderation on lower hiring intensity and improving (but still elevated) turnover.</w:t>
      </w:r>
    </w:p>
    <w:p>
      <w:pPr>
        <w:numPr>
          <w:ilvl w:val="0"/>
          <w:numId w:val="1002"/>
        </w:numPr>
      </w:pPr>
      <w:r>
        <w:rPr>
          <w:b/>
          <w:bCs/>
        </w:rPr>
        <w:t xml:space="preserve">California nurse-staffing ratios</w:t>
      </w:r>
      <w:r>
        <w:t xml:space="preserve"> </w:t>
      </w:r>
      <w:r>
        <w:t xml:space="preserve">— New requirements took effect June 1, 2026; Q2 is the first full quarter under the new mandate, a cost watch item.</w:t>
      </w:r>
    </w:p>
    <w:p>
      <w:pPr>
        <w:numPr>
          <w:ilvl w:val="0"/>
          <w:numId w:val="1002"/>
        </w:numPr>
      </w:pPr>
      <w:r>
        <w:rPr>
          <w:b/>
          <w:bCs/>
        </w:rPr>
        <w:t xml:space="preserve">New capacity ramp</w:t>
      </w:r>
      <w:r>
        <w:t xml:space="preserve"> </w:t>
      </w:r>
      <w:r>
        <w:t xml:space="preserve">— A 156-bed de novo hospital in Florida opened in May 2026 (expected to run an initial operating loss), while new bed towers/replacement facilities (178 beds combined) in Las Vegas, Florida and California came online during Q2 — these are existing-market expansions expected to ramp quickly and support second-half growth. The Cedar Hill, D.C. de novo (opened 2025) was flagged as more "back-end loaded" in its improvement than originally modeled.</w:t>
      </w:r>
    </w:p>
    <w:p>
      <w:r>
        <w:pict>
          <v:rect style="width:0;height:1.5pt" o:hralign="center" o:hrstd="t" o:hr="t"/>
        </w:pict>
      </w:r>
    </w:p>
    <w:bookmarkEnd w:id="11"/>
    <w:bookmarkStart w:id="12" w:name="Xcd0f06d9563d8f498e50341d4276a7a2b1ebdb9"/>
    <w:p>
      <w:pPr>
        <w:pStyle w:val="Heading2"/>
      </w:pPr>
      <w:r>
        <w:t xml:space="preserve">The Talkspace Deal — Financing and Integration Watch</w:t>
      </w:r>
    </w:p>
    <w:p>
      <w:pPr>
        <w:pStyle w:val="FirstParagraph"/>
      </w:pPr>
      <w:r>
        <w:t xml:space="preserve">The single biggest structural event of 2026 for UHS is its</w:t>
      </w:r>
      <w:r>
        <w:t xml:space="preserve"> </w:t>
      </w:r>
      <w:r>
        <w:rPr>
          <w:b/>
          <w:bCs/>
        </w:rPr>
        <w:t xml:space="preserve">$835 million acquisition of Talkspace</w:t>
      </w:r>
      <w:r>
        <w:t xml:space="preserve"> </w:t>
      </w:r>
      <w:r>
        <w:t xml:space="preserve">(announced March 9), a virtual behavioral health platform with a network of roughly 6,000 licensed clinicians. Universal Health Services, Inc. announced that it has entered into a definitive agreement to acquire Talkspace, Inc. for $5.25 per share, an enterprise value of approximately $835 million, which UHS intends to finance with borrowings pursuant to its existing revolving credit facility. Talkspace reported $229 million revenue and 1.6M sessions in 2025.</w:t>
      </w:r>
    </w:p>
    <w:p>
      <w:pPr>
        <w:pStyle w:val="BodyText"/>
      </w:pPr>
      <w:r>
        <w:t xml:space="preserve">Deal progress since announcement:</w:t>
      </w:r>
    </w:p>
    <w:p>
      <w:pPr>
        <w:pStyle w:val="Compact"/>
        <w:numPr>
          <w:ilvl w:val="0"/>
          <w:numId w:val="1003"/>
        </w:numPr>
      </w:pPr>
      <w:r>
        <w:rPr>
          <w:b/>
          <w:bCs/>
        </w:rPr>
        <w:t xml:space="preserve">Shareholder approval secured:</w:t>
      </w:r>
      <w:r>
        <w:t xml:space="preserve"> </w:t>
      </w:r>
      <w:r>
        <w:t xml:space="preserve">At the special meeting of Talkspace stockholders held on May 29, 2026, the Talkspace stockholders voted to approve the acquisition of Talkspace by Universal Health Services, Inc.</w:t>
      </w:r>
    </w:p>
    <w:p>
      <w:pPr>
        <w:pStyle w:val="Compact"/>
        <w:numPr>
          <w:ilvl w:val="0"/>
          <w:numId w:val="1003"/>
        </w:numPr>
      </w:pPr>
      <w:r>
        <w:rPr>
          <w:b/>
          <w:bCs/>
        </w:rPr>
        <w:t xml:space="preserve">Expected close:</w:t>
      </w:r>
      <w:r>
        <w:t xml:space="preserve"> </w:t>
      </w:r>
      <w:r>
        <w:t xml:space="preserve">Completion of the acquisition remains subject to the satisfaction or waiver of customary closing conditions, including the receipt of state regulatory approvals, and is expected to close in the third quarter of 2026.</w:t>
      </w:r>
    </w:p>
    <w:p>
      <w:pPr>
        <w:pStyle w:val="Compact"/>
        <w:numPr>
          <w:ilvl w:val="0"/>
          <w:numId w:val="1003"/>
        </w:numPr>
      </w:pPr>
      <w:r>
        <w:rPr>
          <w:b/>
          <w:bCs/>
        </w:rPr>
        <w:t xml:space="preserve">Financing lined up:</w:t>
      </w:r>
      <w:r>
        <w:t xml:space="preserve"> </w:t>
      </w:r>
      <w:r>
        <w:t xml:space="preserve">On July 20, 2026, UHS added a new $700 million delayed-draw term loan tranche to its credit facility (available to draw through September 30, 2026), on top of the $900 million expansion of credit facility capacity completed in April — capacity clearly being pre-positioned to fund the Talkspace close and give flexibility for buybacks/other M&amp;A.</w:t>
      </w:r>
    </w:p>
    <w:p>
      <w:pPr>
        <w:pStyle w:val="Compact"/>
        <w:numPr>
          <w:ilvl w:val="0"/>
          <w:numId w:val="1003"/>
        </w:numPr>
      </w:pPr>
      <w:r>
        <w:rPr>
          <w:b/>
          <w:bCs/>
        </w:rPr>
        <w:t xml:space="preserve">Accretion framing:</w:t>
      </w:r>
      <w:r>
        <w:t xml:space="preserve"> </w:t>
      </w:r>
      <w:r>
        <w:t xml:space="preserve">Management has guided that the deal will be slightly accretive to adjusted net income per diluted share in the first 12 months excluding one-time costs, with the effective EBITDA multiple expected to fall into the single digits by year three as revenue synergies (virtual step-down/step-up care between Talkspace and UHS facilities) are realized. Leverage impact is modest — pro forma net leverage moves from under 2x to a bit over 2x.</w:t>
      </w:r>
    </w:p>
    <w:p>
      <w:pPr>
        <w:pStyle w:val="Compact"/>
        <w:numPr>
          <w:ilvl w:val="0"/>
          <w:numId w:val="1003"/>
        </w:numPr>
      </w:pPr>
      <w:r>
        <w:rPr>
          <w:b/>
          <w:bCs/>
        </w:rPr>
        <w:t xml:space="preserve">Initial market reaction was tepid:</w:t>
      </w:r>
      <w:r>
        <w:t xml:space="preserve"> </w:t>
      </w:r>
      <w:r>
        <w:t xml:space="preserve">On the day this news was published, UHS declined 1.10%, reflecting a mild negative market reaction.</w:t>
      </w:r>
    </w:p>
    <w:p>
      <w:pPr>
        <w:pStyle w:val="FirstParagraph"/>
      </w:pPr>
      <w:r>
        <w:rPr>
          <w:b/>
          <w:bCs/>
        </w:rPr>
        <w:t xml:space="preserve">What to watch on the call:</w:t>
      </w:r>
      <w:r>
        <w:t xml:space="preserve"> </w:t>
      </w:r>
      <w:r>
        <w:t xml:space="preserve">an updated closing timeline (regulatory approvals are the main remaining condition), any incremental color on one-time integration costs that could weigh on H2 EPS, and commentary on how the $700 million delayed-draw loan factors into 2026 interest expense guidance.</w:t>
      </w:r>
    </w:p>
    <w:p>
      <w:r>
        <w:pict>
          <v:rect style="width:0;height:1.5pt" o:hralign="center" o:hrstd="t" o:hr="t"/>
        </w:pict>
      </w:r>
    </w:p>
    <w:bookmarkEnd w:id="12"/>
    <w:bookmarkStart w:id="13" w:name="capital-allocation"/>
    <w:p>
      <w:pPr>
        <w:pStyle w:val="Heading2"/>
      </w:pPr>
      <w:r>
        <w:t xml:space="preserve">Capital Allocation</w:t>
      </w:r>
    </w:p>
    <w:p>
      <w:pPr>
        <w:pStyle w:val="FirstParagraph"/>
      </w:pPr>
      <w:r>
        <w:t xml:space="preserve">UHS remains an aggressive repurchaser of stock even amid the M&amp;A activity. In Q1 alone the company bought back 675,000 shares for</w:t>
      </w:r>
      <w:r>
        <w:t xml:space="preserve"> </w:t>
      </w:r>
      <m:oMath>
        <m:r>
          <m:t>127</m:t>
        </m:r>
        <m:r>
          <m:t>m</m:t>
        </m:r>
        <m:r>
          <m:t>i</m:t>
        </m:r>
        <m:r>
          <m:t>l</m:t>
        </m:r>
        <m:r>
          <m:t>l</m:t>
        </m:r>
        <m:r>
          <m:t>i</m:t>
        </m:r>
        <m:r>
          <m:t>o</m:t>
        </m:r>
        <m:r>
          <m:t>n</m:t>
        </m:r>
        <m:r>
          <m:rPr>
            <m:sty m:val="p"/>
          </m:rPr>
          <m:t>(</m:t>
        </m:r>
        <m:r>
          <m:t>a</m:t>
        </m:r>
        <m:r>
          <m:t>v</m:t>
        </m:r>
        <m:r>
          <m:t>e</m:t>
        </m:r>
        <m:r>
          <m:t>r</m:t>
        </m:r>
        <m:r>
          <m:t>a</m:t>
        </m:r>
        <m:r>
          <m:t>g</m:t>
        </m:r>
        <m:r>
          <m:t>e</m:t>
        </m:r>
        <m:r>
          <m:t>p</m:t>
        </m:r>
        <m:r>
          <m:t>r</m:t>
        </m:r>
        <m:r>
          <m:t>i</m:t>
        </m:r>
        <m:r>
          <m:t>c</m:t>
        </m:r>
        <m:r>
          <m:t>e</m:t>
        </m:r>
        <m:r>
          <m:t> </m:t>
        </m:r>
      </m:oMath>
      <w:r>
        <w:t xml:space="preserve">189/share — notably above the current stock price), leaving $1.3 billion of authorization at quarter-end. Management has pointed to an</w:t>
      </w:r>
      <w:r>
        <w:t xml:space="preserve"> </w:t>
      </w:r>
      <w:r>
        <w:t xml:space="preserve">$800–900 million buyback target for 2026 and reiterated that Talkspace is not an "either/or" versus continued repurchases. The dividend of US$</w:t>
      </w:r>
      <w:r>
        <w:t xml:space="preserve">0.20 is the same as last year, with an ex-date of June 8, 2026 and a payment date of June 18, 2026; the dividend yield is 0.5%, lower than the industry average of 1.6%, with a payout ratio of 3%. With the stock down significantly since Q1 buybacks were executed at ~$189, the pace and pricing of Q2/Q3 repurchases will be a point of interest — cheaper buybacks would be a modest silver lining from the sell-off.</w:t>
      </w:r>
    </w:p>
    <w:p>
      <w:r>
        <w:pict>
          <v:rect style="width:0;height:1.5pt" o:hralign="center" o:hrstd="t" o:hr="t"/>
        </w:pict>
      </w:r>
    </w:p>
    <w:bookmarkEnd w:id="13"/>
    <w:bookmarkStart w:id="14" w:name="peer-read-through"/>
    <w:p>
      <w:pPr>
        <w:pStyle w:val="Heading2"/>
      </w:pPr>
      <w:r>
        <w:t xml:space="preserve">Peer Read-Through</w:t>
      </w:r>
    </w:p>
    <w:p>
      <w:pPr>
        <w:pStyle w:val="FirstParagraph"/>
      </w:pPr>
      <w:r>
        <w:t xml:space="preserve">Sector results reported ahead of UHS have been encouraging on the top line: Tenet Healthcare delivered year-on-year revenue growth of 6.8%, beating analysts' expectations by 3.9%, and HCA Healthcare reported revenues up 8.7%, topping estimates by 2.4%; Tenet Healthcare traded up 17.2% following the results. This suggests the hospital volume/pricing backdrop industry-wide has been constructive, raising the bar somewhat for UHS to show similar strength, particularly in acute care.</w:t>
      </w:r>
    </w:p>
    <w:p>
      <w:r>
        <w:pict>
          <v:rect style="width:0;height:1.5pt" o:hralign="center" o:hrstd="t" o:hr="t"/>
        </w:pict>
      </w:r>
    </w:p>
    <w:bookmarkEnd w:id="14"/>
    <w:bookmarkStart w:id="15" w:name="analyst-sentiment-snapshot"/>
    <w:p>
      <w:pPr>
        <w:pStyle w:val="Heading2"/>
      </w:pPr>
      <w:r>
        <w:t xml:space="preserve">Analyst Sentiment Snapshot</w:t>
      </w:r>
    </w:p>
    <w:p>
      <w:pPr>
        <w:pStyle w:val="FirstParagraph"/>
      </w:pPr>
      <w:r>
        <w:t xml:space="preserve">Ratings remain broadly constructive even as the stock has been punished: among 20 analysts covering the stock, the consensus rating is "Moderate Buy," with UHS having seven "Strong Buy" ratings, 12 "Holds," and one "Moderate Sell." The mean price target of $210.12 implies a 32.7% upside from current levels, while the Street-high price target of $310 implies 95.8% upside. That said, more cautious voices have emerged post-Q1: one valuation service lowered the implied fair value estimate for Universal Health Services from about $200.67 to $165.00, reflecting reduced long-term growth and margin assumptions following survey data pointing to flat hospital revenue, softer surgical volumes, and ongoing questions around Medicaid directed payment exposure, and currently rates the stock a hold.</w:t>
      </w:r>
    </w:p>
    <w:p>
      <w:r>
        <w:pict>
          <v:rect style="width:0;height:1.5pt" o:hralign="center" o:hrstd="t" o:hr="t"/>
        </w:pict>
      </w:r>
    </w:p>
    <w:bookmarkEnd w:id="15"/>
    <w:bookmarkStart w:id="16" w:name="X9b986e5cfe73a12a677e68656fe6857d5c31c3b"/>
    <w:p>
      <w:pPr>
        <w:pStyle w:val="Heading2"/>
      </w:pPr>
      <w:r>
        <w:t xml:space="preserve">Key Questions Investors Should Have Answered on the Call</w:t>
      </w:r>
    </w:p>
    <w:p>
      <w:pPr>
        <w:pStyle w:val="Compact"/>
        <w:numPr>
          <w:ilvl w:val="0"/>
          <w:numId w:val="1004"/>
        </w:numPr>
      </w:pPr>
      <w:r>
        <w:rPr>
          <w:b/>
          <w:bCs/>
        </w:rPr>
        <w:t xml:space="preserve">Core growth trajectory:</w:t>
      </w:r>
      <w:r>
        <w:t xml:space="preserve"> </w:t>
      </w:r>
      <w:r>
        <w:t xml:space="preserve">Is management still on track for ~5% core (ex-DPP) EBITDA growth for FY2026, and how much of the promised "back-half ramp" showed up in Q2?</w:t>
      </w:r>
    </w:p>
    <w:p>
      <w:pPr>
        <w:pStyle w:val="Compact"/>
        <w:numPr>
          <w:ilvl w:val="0"/>
          <w:numId w:val="1004"/>
        </w:numPr>
      </w:pPr>
      <w:r>
        <w:rPr>
          <w:b/>
          <w:bCs/>
        </w:rPr>
        <w:t xml:space="preserve">ACA exchange/bad debt:</w:t>
      </w:r>
      <w:r>
        <w:t xml:space="preserve"> </w:t>
      </w:r>
      <w:r>
        <w:t xml:space="preserve">Is the exchange member decline tracking toward the 25–30% full-year assumption, and is the $75 million headwind estimate still intact — or growing?</w:t>
      </w:r>
    </w:p>
    <w:p>
      <w:pPr>
        <w:pStyle w:val="Compact"/>
        <w:numPr>
          <w:ilvl w:val="0"/>
          <w:numId w:val="1004"/>
        </w:numPr>
      </w:pPr>
      <w:r>
        <w:rPr>
          <w:b/>
          <w:bCs/>
        </w:rPr>
        <w:t xml:space="preserve">Medicaid supplemental payments:</w:t>
      </w:r>
      <w:r>
        <w:t xml:space="preserve"> </w:t>
      </w:r>
      <w:r>
        <w:t xml:space="preserve">Any update/approval on Florida's 2025 DPP program (~$50M+ potential benefit) or California's uncertain program?</w:t>
      </w:r>
    </w:p>
    <w:p>
      <w:pPr>
        <w:pStyle w:val="Compact"/>
        <w:numPr>
          <w:ilvl w:val="0"/>
          <w:numId w:val="1004"/>
        </w:numPr>
      </w:pPr>
      <w:r>
        <w:rPr>
          <w:b/>
          <w:bCs/>
        </w:rPr>
        <w:t xml:space="preserve">Behavioral health economics:</w:t>
      </w:r>
      <w:r>
        <w:t xml:space="preserve"> </w:t>
      </w:r>
      <w:r>
        <w:t xml:space="preserve">Are wage inflation and turnover continuing to moderate, and is outpatient/step-down volume (1,000 Branches, Talkspace pipeline) accelerating as promised?</w:t>
      </w:r>
    </w:p>
    <w:p>
      <w:pPr>
        <w:pStyle w:val="Compact"/>
        <w:numPr>
          <w:ilvl w:val="0"/>
          <w:numId w:val="1004"/>
        </w:numPr>
      </w:pPr>
      <w:r>
        <w:rPr>
          <w:b/>
          <w:bCs/>
        </w:rPr>
        <w:t xml:space="preserve">Talkspace timing and costs:</w:t>
      </w:r>
      <w:r>
        <w:t xml:space="preserve"> </w:t>
      </w:r>
      <w:r>
        <w:t xml:space="preserve">Confirmation of Q3 close, regulatory approval status, updated one-time cost estimates, and initial revenue-synergy specifics.</w:t>
      </w:r>
    </w:p>
    <w:p>
      <w:pPr>
        <w:pStyle w:val="Compact"/>
        <w:numPr>
          <w:ilvl w:val="0"/>
          <w:numId w:val="1004"/>
        </w:numPr>
      </w:pPr>
      <w:r>
        <w:rPr>
          <w:b/>
          <w:bCs/>
        </w:rPr>
        <w:t xml:space="preserve">New capacity ramp:</w:t>
      </w:r>
      <w:r>
        <w:t xml:space="preserve"> </w:t>
      </w:r>
      <w:r>
        <w:t xml:space="preserve">How quickly are the Q2-opened bed towers (Las Vegas, Florida, California) and the new Florida de novo hospital contributing, and is Cedar Hill's improvement showing up yet?</w:t>
      </w:r>
    </w:p>
    <w:p>
      <w:pPr>
        <w:pStyle w:val="Compact"/>
        <w:numPr>
          <w:ilvl w:val="0"/>
          <w:numId w:val="1004"/>
        </w:numPr>
      </w:pPr>
      <w:r>
        <w:rPr>
          <w:b/>
          <w:bCs/>
        </w:rPr>
        <w:t xml:space="preserve">Capital allocation:</w:t>
      </w:r>
      <w:r>
        <w:t xml:space="preserve"> </w:t>
      </w:r>
      <w:r>
        <w:t xml:space="preserve">Buyback pace/pricing at depressed share levels, and updated leverage guidance including the new $700 million delayed-draw facility.</w:t>
      </w:r>
    </w:p>
    <w:p>
      <w:pPr>
        <w:pStyle w:val="Compact"/>
        <w:numPr>
          <w:ilvl w:val="0"/>
          <w:numId w:val="1004"/>
        </w:numPr>
      </w:pPr>
      <w:r>
        <w:rPr>
          <w:b/>
          <w:bCs/>
        </w:rPr>
        <w:t xml:space="preserve">2026 guidance:</w:t>
      </w:r>
      <w:r>
        <w:t xml:space="preserve"> </w:t>
      </w:r>
      <w:r>
        <w:t xml:space="preserve">Any formal revision to full-year guidance (last reiterated at Q1, with management noting they customarily revisit forecasts alongside Q2 results).</w:t>
      </w:r>
    </w:p>
    <w:p>
      <w:r>
        <w:pict>
          <v:rect style="width:0;height:1.5pt" o:hralign="center" o:hrstd="t" o:hr="t"/>
        </w:pict>
      </w:r>
    </w:p>
    <w:bookmarkEnd w:id="16"/>
    <w:bookmarkStart w:id="17" w:name="bottom-line"/>
    <w:p>
      <w:pPr>
        <w:pStyle w:val="Heading2"/>
      </w:pPr>
      <w:r>
        <w:t xml:space="preserve">Bottom Line</w:t>
      </w:r>
    </w:p>
    <w:p>
      <w:pPr>
        <w:pStyle w:val="FirstParagraph"/>
      </w:pPr>
      <w:r>
        <w:t xml:space="preserve">UHS goes into Q2 2026 as a "prove it" story: a business still compounding revenue and (adjusted) EPS at high single-to-low double digits, but one where the market has grown skeptical of headline growth quality given fading Medicaid DPP tailwinds, ACA subsidy runoff, and labor/staffing cost pressure in behavioral health — skepticism reflected in a stock trading roughly 25–30% below the average Street price target. A clean beat alone may not be enough to reverse sentiment; investors will be looking for concrete evidence of the guided second-half "core" growth ramp, clarity on Talkspace's Q3 close and financing costs, and reassurance that ACA/Medicaid headwinds remain contained within prior guidance.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2026-07-27T00:26:44Z</dcterms:created>
  <dcterms:modified xsi:type="dcterms:W3CDTF">2026-07-27T00:26:44Z</dcterms:modified>
</cp:coreProperties>
</file>

<file path=docProps/custom.xml><?xml version="1.0" encoding="utf-8"?>
<Properties xmlns="http://schemas.openxmlformats.org/officeDocument/2006/custom-properties" xmlns:vt="http://schemas.openxmlformats.org/officeDocument/2006/docPropsVTypes"/>
</file>