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uhs-2026-q2-earnings-preview"/>
    <w:p>
      <w:pPr>
        <w:pStyle w:val="Heading1"/>
      </w:pPr>
      <w:r>
        <w:t xml:space="preserve">UHS 2026 Q2 Earnings Preview</w:t>
      </w:r>
    </w:p>
    <w:p>
      <w:pPr>
        <w:pStyle w:val="BlockText"/>
      </w:pPr>
      <w:r>
        <w:rPr>
          <w:b/>
          <w:bCs/>
        </w:rPr>
        <w:t xml:space="preserve">Timing clarification:</w:t>
      </w:r>
      <w:r>
        <w:t xml:space="preserve"> </w:t>
      </w:r>
      <w:r>
        <w:t xml:space="preserve">Universal Health Services is scheduled to release second-quarter results</w:t>
      </w:r>
      <w:r>
        <w:t xml:space="preserve"> </w:t>
      </w:r>
      <w:r>
        <w:rPr>
          <w:b/>
          <w:bCs/>
        </w:rPr>
        <w:t xml:space="preserve">after the market closes today, Monday, July 27, 2026</w:t>
      </w:r>
      <w:r>
        <w:t xml:space="preserve">. The earnings call is</w:t>
      </w:r>
      <w:r>
        <w:t xml:space="preserve"> </w:t>
      </w:r>
      <w:r>
        <w:rPr>
          <w:b/>
          <w:bCs/>
        </w:rPr>
        <w:t xml:space="preserve">tomorrow, Tuesday, July 28, at 9:00 a.m. ET</w:t>
      </w:r>
      <w:r>
        <w:t xml:space="preserve">. (</w:t>
      </w:r>
      <w:hyperlink r:id="rId9">
        <w:r>
          <w:rPr>
            <w:rStyle w:val="Hyperlink"/>
          </w:rPr>
          <w:t xml:space="preserve">ir.uhs.com</w:t>
        </w:r>
      </w:hyperlink>
      <w:r>
        <w:t xml:space="preserve">)</w:t>
      </w:r>
    </w:p>
    <w:bookmarkStart w:id="10" w:name="executive-summary"/>
    <w:p>
      <w:pPr>
        <w:pStyle w:val="Heading2"/>
      </w:pPr>
      <w:r>
        <w:t xml:space="preserve">Executive summary</w:t>
      </w:r>
    </w:p>
    <w:p>
      <w:pPr>
        <w:pStyle w:val="FirstParagraph"/>
      </w:pPr>
      <w:r>
        <w:t xml:space="preserve">This report is less about whether UHS beats quarterly EPS and more about</w:t>
      </w:r>
      <w:r>
        <w:t xml:space="preserve"> </w:t>
      </w:r>
      <w:r>
        <w:rPr>
          <w:b/>
          <w:bCs/>
        </w:rPr>
        <w:t xml:space="preserve">what the beat or miss is made of</w:t>
      </w:r>
      <w:r>
        <w:t xml:space="preserve">. Medicaid supplemental payments—particularly Florida—could materially lift reported results, while the deterioration in health-insurance-exchange coverage could create a meaningful offset through higher uninsured volumes and bad debt.</w:t>
      </w:r>
    </w:p>
    <w:p>
      <w:pPr>
        <w:pStyle w:val="BodyText"/>
      </w:pPr>
      <w:r>
        <w:t xml:space="preserve">The key questions are:</w:t>
      </w:r>
    </w:p>
    <w:p>
      <w:pPr>
        <w:pStyle w:val="Compact"/>
        <w:numPr>
          <w:ilvl w:val="0"/>
          <w:numId w:val="1001"/>
        </w:numPr>
      </w:pPr>
      <w:r>
        <w:rPr>
          <w:b/>
          <w:bCs/>
        </w:rPr>
        <w:t xml:space="preserve">Has the exchange-related headwind become materially worse than UHS’s $75 million full-year assumption?</w:t>
      </w:r>
    </w:p>
    <w:p>
      <w:pPr>
        <w:pStyle w:val="Compact"/>
        <w:numPr>
          <w:ilvl w:val="0"/>
          <w:numId w:val="1001"/>
        </w:numPr>
      </w:pPr>
      <w:r>
        <w:rPr>
          <w:b/>
          <w:bCs/>
        </w:rPr>
        <w:t xml:space="preserve">How much benefit will UHS recognize from Florida’s newly approved Medicaid directed-payment program?</w:t>
      </w:r>
    </w:p>
    <w:p>
      <w:pPr>
        <w:pStyle w:val="Compact"/>
        <w:numPr>
          <w:ilvl w:val="0"/>
          <w:numId w:val="1001"/>
        </w:numPr>
      </w:pPr>
      <w:r>
        <w:rPr>
          <w:b/>
          <w:bCs/>
        </w:rPr>
        <w:t xml:space="preserve">Did core hospital earnings accelerate after a soft first quarter?</w:t>
      </w:r>
    </w:p>
    <w:p>
      <w:pPr>
        <w:pStyle w:val="Compact"/>
        <w:numPr>
          <w:ilvl w:val="0"/>
          <w:numId w:val="1001"/>
        </w:numPr>
      </w:pPr>
      <w:r>
        <w:rPr>
          <w:b/>
          <w:bCs/>
        </w:rPr>
        <w:t xml:space="preserve">Can behavioral-health margins improve as wage growth moderates?</w:t>
      </w:r>
    </w:p>
    <w:p>
      <w:pPr>
        <w:pStyle w:val="Compact"/>
        <w:numPr>
          <w:ilvl w:val="0"/>
          <w:numId w:val="1001"/>
        </w:numPr>
      </w:pPr>
      <w:r>
        <w:rPr>
          <w:b/>
          <w:bCs/>
        </w:rPr>
        <w:t xml:space="preserve">Will management raise guidance, or use supplemental-payment upside to absorb worsening payer mix?</w:t>
      </w:r>
    </w:p>
    <w:p>
      <w:pPr>
        <w:pStyle w:val="FirstParagraph"/>
      </w:pPr>
      <w:r>
        <w:t xml:space="preserve">Given the stock’s decline and low valuation, expectations appear subdued. But investors will probably discount a headline beat if it comes primarily from retroactive Medicaid payments without evidence that underlying volumes, margins and payer mix are stabilizing.</w:t>
      </w:r>
    </w:p>
    <w:p>
      <w:r>
        <w:pict>
          <v:rect style="width:0;height:1.5pt" o:hralign="center" o:hrstd="t" o:hr="t"/>
        </w:pict>
      </w:r>
    </w:p>
    <w:bookmarkEnd w:id="10"/>
    <w:bookmarkStart w:id="13" w:name="expectations-and-starting-point"/>
    <w:p>
      <w:pPr>
        <w:pStyle w:val="Heading2"/>
      </w:pPr>
      <w:r>
        <w:t xml:space="preserve">Expectations and starting point</w:t>
      </w:r>
    </w:p>
    <w:p>
      <w:pPr>
        <w:pStyle w:val="FirstParagraph"/>
      </w:pPr>
      <w:r>
        <w:t xml:space="preserve">Published estimates vary by provider, reflecting uncertainty around supplemental-payment timing. A reasonable Street range is approximately: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expectation</w:t>
            </w:r>
          </w:p>
        </w:tc>
        <w:tc>
          <w:tcPr/>
          <w:p>
            <w:pPr>
              <w:pStyle w:val="Compact"/>
              <w:jc w:val="right"/>
            </w:pPr>
            <w:r>
              <w:t xml:space="preserve">Q2 2025</w:t>
            </w:r>
          </w:p>
        </w:tc>
      </w:tr>
      <w:tr>
        <w:tc>
          <w:tcPr/>
          <w:p>
            <w:pPr>
              <w:pStyle w:val="Compact"/>
            </w:pPr>
            <w:r>
              <w:t xml:space="preserve">Revenue</w:t>
            </w:r>
          </w:p>
        </w:tc>
        <w:tc>
          <w:tcPr/>
          <w:p>
            <w:pPr>
              <w:pStyle w:val="Compact"/>
              <w:jc w:val="right"/>
            </w:pPr>
            <m:oMath>
              <m:r>
                <m:t>4.5</m:t>
              </m:r>
              <m:r>
                <m:t>B</m:t>
              </m:r>
              <m:r>
                <m:rPr>
                  <m:sty m:val="p"/>
                </m:rPr>
                <m:t>–</m:t>
              </m:r>
            </m:oMath>
            <w:r>
              <w:rPr>
                <w:b/>
                <w:bCs/>
              </w:rPr>
              <w:t xml:space="preserve">4.6B</w:t>
            </w:r>
          </w:p>
        </w:tc>
        <w:tc>
          <w:tcPr/>
          <w:p>
            <w:pPr>
              <w:pStyle w:val="Compact"/>
              <w:jc w:val="right"/>
            </w:pPr>
            <w:r>
              <w:t xml:space="preserve">$4.284B</w:t>
            </w:r>
          </w:p>
        </w:tc>
      </w:tr>
      <w:tr>
        <w:tc>
          <w:tcPr/>
          <w:p>
            <w:pPr>
              <w:pStyle w:val="Compact"/>
            </w:pPr>
            <w:r>
              <w:t xml:space="preserve">Adjusted EPS</w:t>
            </w:r>
          </w:p>
        </w:tc>
        <w:tc>
          <w:tcPr/>
          <w:p>
            <w:pPr>
              <w:pStyle w:val="Compact"/>
              <w:jc w:val="right"/>
            </w:pPr>
            <m:oMath>
              <m:r>
                <m:t>5.65</m:t>
              </m:r>
              <m:r>
                <m:rPr>
                  <m:sty m:val="p"/>
                </m:rPr>
                <m:t>–</m:t>
              </m:r>
            </m:oMath>
            <w:r>
              <w:rPr>
                <w:b/>
                <w:bCs/>
              </w:rPr>
              <w:t xml:space="preserve">6.00</w:t>
            </w:r>
          </w:p>
        </w:tc>
        <w:tc>
          <w:tcPr/>
          <w:p>
            <w:pPr>
              <w:pStyle w:val="Compact"/>
              <w:jc w:val="right"/>
            </w:pPr>
            <w:r>
              <w:t xml:space="preserve">$5.35</w:t>
            </w:r>
          </w:p>
        </w:tc>
      </w:tr>
      <w:tr>
        <w:tc>
          <w:tcPr/>
          <w:p>
            <w:pPr>
              <w:pStyle w:val="Compact"/>
            </w:pPr>
            <w:r>
              <w:t xml:space="preserve">Adjusted EBITDA net of NCI</w:t>
            </w:r>
          </w:p>
        </w:tc>
        <w:tc>
          <w:tcPr/>
          <w:p>
            <w:pPr>
              <w:pStyle w:val="Compact"/>
              <w:jc w:val="right"/>
            </w:pPr>
            <w:r>
              <w:rPr>
                <w:b/>
                <w:bCs/>
              </w:rPr>
              <w:t xml:space="preserve">Low-$630Ms</w:t>
            </w:r>
          </w:p>
        </w:tc>
        <w:tc>
          <w:tcPr/>
          <w:p>
            <w:pPr>
              <w:pStyle w:val="Compact"/>
              <w:jc w:val="right"/>
            </w:pPr>
            <w:r>
              <w:t xml:space="preserve">$642.9M</w:t>
            </w:r>
          </w:p>
        </w:tc>
      </w:tr>
    </w:tbl>
    <w:p>
      <w:pPr>
        <w:pStyle w:val="BodyText"/>
      </w:pPr>
      <w:r>
        <w:t xml:space="preserve">Recent published estimates include approximately</w:t>
      </w:r>
      <w:r>
        <w:t xml:space="preserve"> </w:t>
      </w:r>
      <m:oMath>
        <m:r>
          <m:t>5.66</m:t>
        </m:r>
        <m:r>
          <m:rPr>
            <m:sty m:val="p"/>
          </m:rPr>
          <m:t>–</m:t>
        </m:r>
      </m:oMath>
      <w:r>
        <w:rPr>
          <w:b/>
          <w:bCs/>
        </w:rPr>
        <w:t xml:space="preserve">5.98 of EPS</w:t>
      </w:r>
      <w:r>
        <w:t xml:space="preserve"> </w:t>
      </w:r>
      <w:r>
        <w:t xml:space="preserve">and</w:t>
      </w:r>
      <w:r>
        <w:t xml:space="preserve"> </w:t>
      </w:r>
      <m:oMath>
        <m:r>
          <m:t>4.52</m:t>
        </m:r>
        <m:r>
          <m:rPr>
            <m:sty m:val="p"/>
          </m:rPr>
          <m:t>–</m:t>
        </m:r>
      </m:oMath>
      <w:r>
        <w:rPr>
          <w:b/>
          <w:bCs/>
        </w:rPr>
        <w:t xml:space="preserve">4.60 billion of revenue</w:t>
      </w:r>
      <w:r>
        <w:t xml:space="preserve">, depending on the data source. (</w:t>
      </w:r>
      <w:hyperlink r:id="rId11">
        <w:r>
          <w:rPr>
            <w:rStyle w:val="Hyperlink"/>
          </w:rPr>
          <w:t xml:space="preserve">tickerleague.com</w:t>
        </w:r>
      </w:hyperlink>
      <w:r>
        <w:t xml:space="preserve">)</w:t>
      </w:r>
    </w:p>
    <w:p>
      <w:pPr>
        <w:pStyle w:val="BodyText"/>
      </w:pPr>
      <w:r>
        <w:t xml:space="preserve">UHS entered the quarter with full-year guidance of:</w:t>
      </w:r>
    </w:p>
    <w:p>
      <w:pPr>
        <w:pStyle w:val="Compact"/>
        <w:numPr>
          <w:ilvl w:val="0"/>
          <w:numId w:val="1002"/>
        </w:numPr>
      </w:pPr>
      <w:r>
        <w:rPr>
          <w:b/>
          <w:bCs/>
        </w:rPr>
        <w:t xml:space="preserve">Revenue:</w:t>
      </w:r>
      <w:r>
        <w:t xml:space="preserve"> </w:t>
      </w:r>
      <m:oMath>
        <m:r>
          <m:t>18.417</m:t>
        </m:r>
        <m:r>
          <m:t>B</m:t>
        </m:r>
        <m:r>
          <m:rPr>
            <m:sty m:val="p"/>
          </m:rPr>
          <m:t>–</m:t>
        </m:r>
      </m:oMath>
      <w:r>
        <w:t xml:space="preserve">18.789B</w:t>
      </w:r>
    </w:p>
    <w:p>
      <w:pPr>
        <w:pStyle w:val="Compact"/>
        <w:numPr>
          <w:ilvl w:val="0"/>
          <w:numId w:val="1002"/>
        </w:numPr>
      </w:pPr>
      <w:r>
        <w:rPr>
          <w:b/>
          <w:bCs/>
        </w:rPr>
        <w:t xml:space="preserve">Adjusted EBITDA net of NCI:</w:t>
      </w:r>
      <w:r>
        <w:t xml:space="preserve"> </w:t>
      </w:r>
      <m:oMath>
        <m:r>
          <m:t>2.641</m:t>
        </m:r>
        <m:r>
          <m:t>B</m:t>
        </m:r>
        <m:r>
          <m:rPr>
            <m:sty m:val="p"/>
          </m:rPr>
          <m:t>–</m:t>
        </m:r>
      </m:oMath>
      <w:r>
        <w:t xml:space="preserve">2.789B</w:t>
      </w:r>
    </w:p>
    <w:p>
      <w:pPr>
        <w:pStyle w:val="Compact"/>
        <w:numPr>
          <w:ilvl w:val="0"/>
          <w:numId w:val="1002"/>
        </w:numPr>
      </w:pPr>
      <w:r>
        <w:rPr>
          <w:b/>
          <w:bCs/>
        </w:rPr>
        <w:t xml:space="preserve">Adjusted EPS:</w:t>
      </w:r>
      <w:r>
        <w:t xml:space="preserve"> </w:t>
      </w:r>
      <m:oMath>
        <m:r>
          <m:t>22.64</m:t>
        </m:r>
        <m:r>
          <m:rPr>
            <m:sty m:val="p"/>
          </m:rPr>
          <m:t>–</m:t>
        </m:r>
      </m:oMath>
      <w:r>
        <w:t xml:space="preserve">24.52</w:t>
      </w:r>
    </w:p>
    <w:p>
      <w:pPr>
        <w:pStyle w:val="Compact"/>
        <w:numPr>
          <w:ilvl w:val="0"/>
          <w:numId w:val="1002"/>
        </w:numPr>
      </w:pPr>
      <w:r>
        <w:rPr>
          <w:b/>
          <w:bCs/>
        </w:rPr>
        <w:t xml:space="preserve">Capital expenditures:</w:t>
      </w:r>
      <w:r>
        <w:t xml:space="preserve"> </w:t>
      </w:r>
      <m:oMath>
        <m:r>
          <m:t>950</m:t>
        </m:r>
        <m:r>
          <m:t>M</m:t>
        </m:r>
        <m:r>
          <m:rPr>
            <m:sty m:val="p"/>
          </m:rPr>
          <m:t>–</m:t>
        </m:r>
      </m:oMath>
      <w:r>
        <w:t xml:space="preserve">1.1B</w:t>
      </w:r>
    </w:p>
    <w:p>
      <w:pPr>
        <w:pStyle w:val="FirstParagraph"/>
      </w:pPr>
      <w:r>
        <w:t xml:space="preserve">First-quarter adjusted EBITDA was $648.3 million and adjusted EPS was $5.62. Revenue grew 9.6%, but the quarter included significant supplemental-payment benefits and relatively weak underlying volumes. (</w:t>
      </w:r>
      <w:hyperlink r:id="rId12">
        <w:r>
          <w:rPr>
            <w:rStyle w:val="Hyperlink"/>
          </w:rPr>
          <w:t xml:space="preserve">ir.uhs.com</w:t>
        </w:r>
      </w:hyperlink>
      <w:r>
        <w:t xml:space="preserve">)</w:t>
      </w:r>
    </w:p>
    <w:p>
      <w:r>
        <w:pict>
          <v:rect style="width:0;height:1.5pt" o:hralign="center" o:hrstd="t" o:hr="t"/>
        </w:pict>
      </w:r>
    </w:p>
    <w:bookmarkEnd w:id="13"/>
    <w:bookmarkStart w:id="16" w:name="X5aff814d894472ef5cea885f9173af74ccb8e9d"/>
    <w:p>
      <w:pPr>
        <w:pStyle w:val="Heading2"/>
      </w:pPr>
      <w:r>
        <w:t xml:space="preserve">1. Exchange coverage is the largest downside risk</w:t>
      </w:r>
    </w:p>
    <w:p>
      <w:pPr>
        <w:pStyle w:val="FirstParagraph"/>
      </w:pPr>
      <w:r>
        <w:t xml:space="preserve">UHS originally estimated a</w:t>
      </w:r>
      <w:r>
        <w:t xml:space="preserve"> </w:t>
      </w:r>
      <w:r>
        <w:rPr>
          <w:b/>
          <w:bCs/>
        </w:rPr>
        <w:t xml:space="preserve">$75 million pretax full-year impact</w:t>
      </w:r>
      <w:r>
        <w:t xml:space="preserve"> </w:t>
      </w:r>
      <w:r>
        <w:t xml:space="preserve">from the expiration of enhanced exchange subsidies. In Q1, it estimated approximately $15 million of impact. Exchange-related adjusted admissions declined about 5%, although management reserved as if the effective coverage reduction were in the low double digits because some patients might later fail to pay their premiums.</w:t>
      </w:r>
    </w:p>
    <w:p>
      <w:pPr>
        <w:pStyle w:val="BodyText"/>
      </w:pPr>
      <w:r>
        <w:t xml:space="preserve">Management expected the problem to worsen through the year, ultimately assuming a roughly</w:t>
      </w:r>
      <w:r>
        <w:t xml:space="preserve"> </w:t>
      </w:r>
      <w:r>
        <w:rPr>
          <w:b/>
          <w:bCs/>
        </w:rPr>
        <w:t xml:space="preserve">25%–30% reduction in exchange coverage</w:t>
      </w:r>
      <w:r>
        <w:t xml:space="preserve">.</w:t>
      </w:r>
    </w:p>
    <w:p>
      <w:pPr>
        <w:pStyle w:val="BodyText"/>
      </w:pPr>
      <w:r>
        <w:t xml:space="preserve">That forecast now looks like the central risk to guidance. HCA’s recent Q2 update showed:</w:t>
      </w:r>
    </w:p>
    <w:p>
      <w:pPr>
        <w:pStyle w:val="Compact"/>
        <w:numPr>
          <w:ilvl w:val="0"/>
          <w:numId w:val="1003"/>
        </w:numPr>
      </w:pPr>
      <w:r>
        <w:t xml:space="preserve">Approximately</w:t>
      </w:r>
      <w:r>
        <w:t xml:space="preserve"> </w:t>
      </w:r>
      <w:r>
        <w:rPr>
          <w:b/>
          <w:bCs/>
        </w:rPr>
        <w:t xml:space="preserve">$400 million of Q2 pretax payer-mix pressure</w:t>
      </w:r>
      <w:r>
        <w:t xml:space="preserve">, principally from higher uninsured volumes after patients lost exchange coverage.</w:t>
      </w:r>
    </w:p>
    <w:p>
      <w:pPr>
        <w:pStyle w:val="Compact"/>
        <w:numPr>
          <w:ilvl w:val="0"/>
          <w:numId w:val="1003"/>
        </w:numPr>
      </w:pPr>
      <w:r>
        <w:t xml:space="preserve">A revised</w:t>
      </w:r>
      <w:r>
        <w:t xml:space="preserve"> </w:t>
      </w:r>
      <m:oMath>
        <m:r>
          <m:t>1.0</m:t>
        </m:r>
        <m:r>
          <m:t>B</m:t>
        </m:r>
        <m:r>
          <m:rPr>
            <m:sty m:val="p"/>
          </m:rPr>
          <m:t>–</m:t>
        </m:r>
      </m:oMath>
      <w:r>
        <w:rPr>
          <w:b/>
          <w:bCs/>
        </w:rPr>
        <w:t xml:space="preserve">1.2B full-year exchange headwind</w:t>
      </w:r>
      <w:r>
        <w:t xml:space="preserve">, up from</w:t>
      </w:r>
      <w:r>
        <w:t xml:space="preserve"> </w:t>
      </w:r>
      <m:oMath>
        <m:r>
          <m:t>600</m:t>
        </m:r>
        <m:r>
          <m:t>M</m:t>
        </m:r>
        <m:r>
          <m:rPr>
            <m:sty m:val="p"/>
          </m:rPr>
          <m:t>–</m:t>
        </m:r>
      </m:oMath>
      <w:r>
        <w:t xml:space="preserve">900M.</w:t>
      </w:r>
    </w:p>
    <w:p>
      <w:pPr>
        <w:pStyle w:val="Compact"/>
        <w:numPr>
          <w:ilvl w:val="0"/>
          <w:numId w:val="1003"/>
        </w:numPr>
      </w:pPr>
      <w:r>
        <w:t xml:space="preserve">A reduction to full-year EBITDA and EPS guidance despite strong admissions and substantial Medicaid-payment upside. (</w:t>
      </w:r>
      <w:hyperlink r:id="rId14">
        <w:r>
          <w:rPr>
            <w:rStyle w:val="Hyperlink"/>
          </w:rPr>
          <w:t xml:space="preserve">investor.hcahealthcare.com</w:t>
        </w:r>
      </w:hyperlink>
      <w:r>
        <w:t xml:space="preserve">)</w:t>
      </w:r>
    </w:p>
    <w:p>
      <w:pPr>
        <w:pStyle w:val="FirstParagraph"/>
      </w:pPr>
      <w:r>
        <w:t xml:space="preserve">UHS’s geographic and patient mix differs from HCA’s, so the magnitude should not be extrapolated directly. Nevertheless, the direction is concerning.</w:t>
      </w:r>
    </w:p>
    <w:bookmarkStart w:id="15" w:name="what-to-watch"/>
    <w:p>
      <w:pPr>
        <w:pStyle w:val="Heading3"/>
      </w:pPr>
      <w:r>
        <w:t xml:space="preserve">What to watch</w:t>
      </w:r>
    </w:p>
    <w:p>
      <w:pPr>
        <w:pStyle w:val="Compact"/>
        <w:numPr>
          <w:ilvl w:val="0"/>
          <w:numId w:val="1004"/>
        </w:numPr>
      </w:pPr>
      <w:r>
        <w:t xml:space="preserve">Exchange admissions and effective coverage loss</w:t>
      </w:r>
    </w:p>
    <w:p>
      <w:pPr>
        <w:pStyle w:val="Compact"/>
        <w:numPr>
          <w:ilvl w:val="0"/>
          <w:numId w:val="1004"/>
        </w:numPr>
      </w:pPr>
      <w:r>
        <w:t xml:space="preserve">Uninsured and self-pay volumes</w:t>
      </w:r>
    </w:p>
    <w:p>
      <w:pPr>
        <w:pStyle w:val="Compact"/>
        <w:numPr>
          <w:ilvl w:val="0"/>
          <w:numId w:val="1004"/>
        </w:numPr>
      </w:pPr>
      <w:r>
        <w:t xml:space="preserve">Bad-debt and uncompensated-care expense</w:t>
      </w:r>
    </w:p>
    <w:p>
      <w:pPr>
        <w:pStyle w:val="Compact"/>
        <w:numPr>
          <w:ilvl w:val="0"/>
          <w:numId w:val="1004"/>
        </w:numPr>
      </w:pPr>
      <w:r>
        <w:t xml:space="preserve">Whether UHS raises its $75 million headwind assumption</w:t>
      </w:r>
    </w:p>
    <w:p>
      <w:pPr>
        <w:pStyle w:val="Compact"/>
        <w:numPr>
          <w:ilvl w:val="0"/>
          <w:numId w:val="1004"/>
        </w:numPr>
      </w:pPr>
      <w:r>
        <w:t xml:space="preserve">Management’s view of July trends and the second-half run rate</w:t>
      </w:r>
    </w:p>
    <w:p>
      <w:pPr>
        <w:pStyle w:val="FirstParagraph"/>
      </w:pPr>
      <w:r>
        <w:t xml:space="preserve">A modest revision would be manageable. A large increase could consume much of the Florida supplemental-payment upside.</w:t>
      </w:r>
    </w:p>
    <w:p>
      <w:r>
        <w:pict>
          <v:rect style="width:0;height:1.5pt" o:hralign="center" o:hrstd="t" o:hr="t"/>
        </w:pict>
      </w:r>
    </w:p>
    <w:bookmarkEnd w:id="15"/>
    <w:bookmarkEnd w:id="16"/>
    <w:bookmarkStart w:id="18" w:name="X2e7017ebad2406429f84a60b420df0e0bbd99c1"/>
    <w:p>
      <w:pPr>
        <w:pStyle w:val="Heading2"/>
      </w:pPr>
      <w:r>
        <w:t xml:space="preserve">2. Florida Medicaid payments could drive the headline result</w:t>
      </w:r>
    </w:p>
    <w:p>
      <w:pPr>
        <w:pStyle w:val="FirstParagraph"/>
      </w:pPr>
      <w:r>
        <w:t xml:space="preserve">Florida is the most likely source of upside.</w:t>
      </w:r>
    </w:p>
    <w:p>
      <w:pPr>
        <w:pStyle w:val="BodyText"/>
      </w:pPr>
      <w:r>
        <w:t xml:space="preserve">On the Q1 call, UHS said it expected approximately</w:t>
      </w:r>
      <w:r>
        <w:t xml:space="preserve"> </w:t>
      </w:r>
      <w:r>
        <w:rPr>
          <w:b/>
          <w:bCs/>
        </w:rPr>
        <w:t xml:space="preserve">$50 million of benefit</w:t>
      </w:r>
      <w:r>
        <w:t xml:space="preserve"> </w:t>
      </w:r>
      <w:r>
        <w:t xml:space="preserve">from the pending Florida program and indicated that the final amount could be “measurably higher.” It planned to recognize the benefit when approval was received and revise guidance accordingly.</w:t>
      </w:r>
    </w:p>
    <w:p>
      <w:pPr>
        <w:pStyle w:val="BodyText"/>
      </w:pPr>
      <w:r>
        <w:t xml:space="preserve">HCA has since confirmed that CMS approved Florida’s directed-payment program during Q2. HCA recognized approximately</w:t>
      </w:r>
      <w:r>
        <w:t xml:space="preserve"> </w:t>
      </w:r>
      <w:r>
        <w:rPr>
          <w:b/>
          <w:bCs/>
        </w:rPr>
        <w:t xml:space="preserve">$400 million of incremental net benefit</w:t>
      </w:r>
      <w:r>
        <w:t xml:space="preserve"> </w:t>
      </w:r>
      <w:r>
        <w:t xml:space="preserve">from Medicaid supplemental-payment programs, primarily Florida. (</w:t>
      </w:r>
      <w:hyperlink r:id="rId14">
        <w:r>
          <w:rPr>
            <w:rStyle w:val="Hyperlink"/>
          </w:rPr>
          <w:t xml:space="preserve">investor.hcahealthcare.com</w:t>
        </w:r>
      </w:hyperlink>
      <w:r>
        <w:t xml:space="preserve">)</w:t>
      </w:r>
    </w:p>
    <w:p>
      <w:pPr>
        <w:pStyle w:val="BodyText"/>
      </w:pPr>
      <w:r>
        <w:t xml:space="preserve">That strongly suggests UHS may recognize a Florida benefit in Q2, although its amount will depend on UHS’s eligible operations, provider-tax obligations and applicable periods.</w:t>
      </w:r>
    </w:p>
    <w:bookmarkStart w:id="17" w:name="the-important-distinction"/>
    <w:p>
      <w:pPr>
        <w:pStyle w:val="Heading3"/>
      </w:pPr>
      <w:r>
        <w:t xml:space="preserve">The important distinction</w:t>
      </w:r>
    </w:p>
    <w:p>
      <w:pPr>
        <w:pStyle w:val="FirstParagraph"/>
      </w:pPr>
      <w:r>
        <w:t xml:space="preserve">Investors should separate:</w:t>
      </w:r>
    </w:p>
    <w:p>
      <w:pPr>
        <w:pStyle w:val="Compact"/>
        <w:numPr>
          <w:ilvl w:val="0"/>
          <w:numId w:val="1005"/>
        </w:numPr>
      </w:pPr>
      <w:r>
        <w:rPr>
          <w:b/>
          <w:bCs/>
        </w:rPr>
        <w:t xml:space="preserve">Retroactive or out-of-period payments</w:t>
      </w:r>
      <w:r>
        <w:t xml:space="preserve">, which boost reported Q2 earnings but do not establish the forward run rate.</w:t>
      </w:r>
    </w:p>
    <w:p>
      <w:pPr>
        <w:pStyle w:val="Compact"/>
        <w:numPr>
          <w:ilvl w:val="0"/>
          <w:numId w:val="1005"/>
        </w:numPr>
      </w:pPr>
      <w:r>
        <w:rPr>
          <w:b/>
          <w:bCs/>
        </w:rPr>
        <w:t xml:space="preserve">Current-period recurring payments</w:t>
      </w:r>
      <w:r>
        <w:t xml:space="preserve">, which can support second-half and future earnings.</w:t>
      </w:r>
    </w:p>
    <w:p>
      <w:pPr>
        <w:pStyle w:val="Compact"/>
        <w:numPr>
          <w:ilvl w:val="0"/>
          <w:numId w:val="1005"/>
        </w:numPr>
      </w:pPr>
      <w:r>
        <w:rPr>
          <w:b/>
          <w:bCs/>
        </w:rPr>
        <w:t xml:space="preserve">Provider-tax assessments</w:t>
      </w:r>
      <w:r>
        <w:t xml:space="preserve">, which inflate both revenue and operating expense without affecting profit.</w:t>
      </w:r>
    </w:p>
    <w:p>
      <w:pPr>
        <w:pStyle w:val="FirstParagraph"/>
      </w:pPr>
      <w:r>
        <w:t xml:space="preserve">A large headline beat accompanied by weak core EBITDA growth would be lower quality than a smaller beat supported by volume and margin improvement.</w:t>
      </w:r>
    </w:p>
    <w:p>
      <w:r>
        <w:pict>
          <v:rect style="width:0;height:1.5pt" o:hralign="center" o:hrstd="t" o:hr="t"/>
        </w:pict>
      </w:r>
    </w:p>
    <w:bookmarkEnd w:id="17"/>
    <w:bookmarkEnd w:id="18"/>
    <w:bookmarkStart w:id="21" w:name="X6b16b537fbc712459475c65700679a2bc5c722a"/>
    <w:p>
      <w:pPr>
        <w:pStyle w:val="Heading2"/>
      </w:pPr>
      <w:r>
        <w:t xml:space="preserve">3. Core growth needs to accelerate after Q1</w:t>
      </w:r>
    </w:p>
    <w:p>
      <w:pPr>
        <w:pStyle w:val="FirstParagraph"/>
      </w:pPr>
      <w:r>
        <w:t xml:space="preserve">First-quarter consolidated results were solid on the surface:</w:t>
      </w:r>
    </w:p>
    <w:p>
      <w:pPr>
        <w:pStyle w:val="Compact"/>
        <w:numPr>
          <w:ilvl w:val="0"/>
          <w:numId w:val="1006"/>
        </w:numPr>
      </w:pPr>
      <w:r>
        <w:t xml:space="preserve">Revenue increased</w:t>
      </w:r>
      <w:r>
        <w:t xml:space="preserve"> </w:t>
      </w:r>
      <w:r>
        <w:rPr>
          <w:b/>
          <w:bCs/>
        </w:rPr>
        <w:t xml:space="preserve">9.6%</w:t>
      </w:r>
    </w:p>
    <w:p>
      <w:pPr>
        <w:pStyle w:val="Compact"/>
        <w:numPr>
          <w:ilvl w:val="0"/>
          <w:numId w:val="1006"/>
        </w:numPr>
      </w:pPr>
      <w:r>
        <w:t xml:space="preserve">Adjusted EBITDA increased</w:t>
      </w:r>
      <w:r>
        <w:t xml:space="preserve"> </w:t>
      </w:r>
      <w:r>
        <w:rPr>
          <w:b/>
          <w:bCs/>
        </w:rPr>
        <w:t xml:space="preserve">8.4%</w:t>
      </w:r>
    </w:p>
    <w:p>
      <w:pPr>
        <w:pStyle w:val="Compact"/>
        <w:numPr>
          <w:ilvl w:val="0"/>
          <w:numId w:val="1006"/>
        </w:numPr>
      </w:pPr>
      <w:r>
        <w:t xml:space="preserve">Adjusted EPS increased</w:t>
      </w:r>
      <w:r>
        <w:t xml:space="preserve"> </w:t>
      </w:r>
      <w:r>
        <w:rPr>
          <w:b/>
          <w:bCs/>
        </w:rPr>
        <w:t xml:space="preserve">16.1%</w:t>
      </w:r>
    </w:p>
    <w:p>
      <w:pPr>
        <w:pStyle w:val="FirstParagraph"/>
      </w:pPr>
      <w:r>
        <w:t xml:space="preserve">But management acknowledged that core growth, excluding supplemental-payment effects and other moving pieces, had not yet reached the roughly 5% level embedded in full-year guidance.</w:t>
      </w:r>
    </w:p>
    <w:bookmarkStart w:id="19" w:name="acute-care"/>
    <w:p>
      <w:pPr>
        <w:pStyle w:val="Heading3"/>
      </w:pPr>
      <w:r>
        <w:t xml:space="preserve">Acute care</w:t>
      </w:r>
    </w:p>
    <w:p>
      <w:pPr>
        <w:pStyle w:val="FirstParagraph"/>
      </w:pPr>
      <w:r>
        <w:t xml:space="preserve">Q1 same-facility acute-care results included:</w:t>
      </w:r>
    </w:p>
    <w:p>
      <w:pPr>
        <w:pStyle w:val="Compact"/>
        <w:numPr>
          <w:ilvl w:val="0"/>
          <w:numId w:val="1007"/>
        </w:numPr>
      </w:pPr>
      <w:r>
        <w:t xml:space="preserve">Adjusted admissions:</w:t>
      </w:r>
      <w:r>
        <w:t xml:space="preserve"> </w:t>
      </w:r>
      <w:r>
        <w:rPr>
          <w:b/>
          <w:bCs/>
        </w:rPr>
        <w:t xml:space="preserve">flat</w:t>
      </w:r>
    </w:p>
    <w:p>
      <w:pPr>
        <w:pStyle w:val="Compact"/>
        <w:numPr>
          <w:ilvl w:val="0"/>
          <w:numId w:val="1007"/>
        </w:numPr>
      </w:pPr>
      <w:r>
        <w:t xml:space="preserve">Adjusted patient days:</w:t>
      </w:r>
      <w:r>
        <w:t xml:space="preserve"> </w:t>
      </w:r>
      <w:r>
        <w:rPr>
          <w:b/>
          <w:bCs/>
        </w:rPr>
        <w:t xml:space="preserve">+0.8%</w:t>
      </w:r>
    </w:p>
    <w:p>
      <w:pPr>
        <w:pStyle w:val="Compact"/>
        <w:numPr>
          <w:ilvl w:val="0"/>
          <w:numId w:val="1007"/>
        </w:numPr>
      </w:pPr>
      <w:r>
        <w:t xml:space="preserve">Revenue per adjusted admission:</w:t>
      </w:r>
      <w:r>
        <w:t xml:space="preserve"> </w:t>
      </w:r>
      <w:r>
        <w:rPr>
          <w:b/>
          <w:bCs/>
        </w:rPr>
        <w:t xml:space="preserve">+6.3%</w:t>
      </w:r>
    </w:p>
    <w:p>
      <w:pPr>
        <w:pStyle w:val="Compact"/>
        <w:numPr>
          <w:ilvl w:val="0"/>
          <w:numId w:val="1007"/>
        </w:numPr>
      </w:pPr>
      <w:r>
        <w:t xml:space="preserve">Same-facility revenue:</w:t>
      </w:r>
      <w:r>
        <w:t xml:space="preserve"> </w:t>
      </w:r>
      <w:r>
        <w:rPr>
          <w:b/>
          <w:bCs/>
        </w:rPr>
        <w:t xml:space="preserve">+8.2%</w:t>
      </w:r>
    </w:p>
    <w:p>
      <w:pPr>
        <w:pStyle w:val="FirstParagraph"/>
      </w:pPr>
      <w:r>
        <w:t xml:space="preserve">Management attributed roughly 200 basis points of volume pressure to mild flu activity, respiratory trends and weather. March was described as more normal, which creates an expectation for better Q2 volumes.</w:t>
      </w:r>
    </w:p>
    <w:p>
      <w:pPr>
        <w:pStyle w:val="BodyText"/>
      </w:pPr>
      <w:r>
        <w:t xml:space="preserve">However, the comparison is not easy: Q2 2025 acute adjusted admissions grew 2.0%. Furthermore, HCA reported healthy admissions and ER growth in Q2 but declining inpatient and outpatient surgeries, indicating that service mix may have been less favorable despite positive aggregate demand. (</w:t>
      </w:r>
      <w:hyperlink r:id="rId14">
        <w:r>
          <w:rPr>
            <w:rStyle w:val="Hyperlink"/>
          </w:rPr>
          <w:t xml:space="preserve">investor.hcahealthcare.com</w:t>
        </w:r>
      </w:hyperlink>
      <w:r>
        <w:t xml:space="preserve">)</w:t>
      </w:r>
    </w:p>
    <w:p>
      <w:pPr>
        <w:pStyle w:val="BodyText"/>
      </w:pPr>
      <w:r>
        <w:rPr>
          <w:b/>
          <w:bCs/>
        </w:rPr>
        <w:t xml:space="preserve">A good outcome:</w:t>
      </w:r>
      <w:r>
        <w:t xml:space="preserve"> </w:t>
      </w:r>
      <w:r>
        <w:t xml:space="preserve">low-single-digit adjusted-admission growth with stable or improving labor efficiency.</w:t>
      </w:r>
    </w:p>
    <w:p>
      <w:pPr>
        <w:pStyle w:val="BodyText"/>
      </w:pPr>
      <w:r>
        <w:rPr>
          <w:b/>
          <w:bCs/>
        </w:rPr>
        <w:t xml:space="preserve">A weaker outcome:</w:t>
      </w:r>
      <w:r>
        <w:t xml:space="preserve"> </w:t>
      </w:r>
      <w:r>
        <w:t xml:space="preserve">positive admissions but soft surgery and acuity mix, leaving core EBITDA growth below revenue growth.</w:t>
      </w:r>
    </w:p>
    <w:bookmarkEnd w:id="19"/>
    <w:bookmarkStart w:id="20" w:name="behavioral-health"/>
    <w:p>
      <w:pPr>
        <w:pStyle w:val="Heading3"/>
      </w:pPr>
      <w:r>
        <w:t xml:space="preserve">Behavioral health</w:t>
      </w:r>
    </w:p>
    <w:p>
      <w:pPr>
        <w:pStyle w:val="FirstParagraph"/>
      </w:pPr>
      <w:r>
        <w:t xml:space="preserve">Q1 same-facility behavioral results included:</w:t>
      </w:r>
    </w:p>
    <w:p>
      <w:pPr>
        <w:pStyle w:val="Compact"/>
        <w:numPr>
          <w:ilvl w:val="0"/>
          <w:numId w:val="1008"/>
        </w:numPr>
      </w:pPr>
      <w:r>
        <w:t xml:space="preserve">Adjusted admissions:</w:t>
      </w:r>
      <w:r>
        <w:t xml:space="preserve"> </w:t>
      </w:r>
      <w:r>
        <w:rPr>
          <w:b/>
          <w:bCs/>
        </w:rPr>
        <w:t xml:space="preserve">+1.2%</w:t>
      </w:r>
    </w:p>
    <w:p>
      <w:pPr>
        <w:pStyle w:val="Compact"/>
        <w:numPr>
          <w:ilvl w:val="0"/>
          <w:numId w:val="1008"/>
        </w:numPr>
      </w:pPr>
      <w:r>
        <w:t xml:space="preserve">Adjusted patient days:</w:t>
      </w:r>
      <w:r>
        <w:t xml:space="preserve"> </w:t>
      </w:r>
      <w:r>
        <w:rPr>
          <w:b/>
          <w:bCs/>
        </w:rPr>
        <w:t xml:space="preserve">+1.6%</w:t>
      </w:r>
    </w:p>
    <w:p>
      <w:pPr>
        <w:pStyle w:val="Compact"/>
        <w:numPr>
          <w:ilvl w:val="0"/>
          <w:numId w:val="1008"/>
        </w:numPr>
      </w:pPr>
      <w:r>
        <w:t xml:space="preserve">Revenue per adjusted patient day:</w:t>
      </w:r>
      <w:r>
        <w:t xml:space="preserve"> </w:t>
      </w:r>
      <w:r>
        <w:rPr>
          <w:b/>
          <w:bCs/>
        </w:rPr>
        <w:t xml:space="preserve">+5.8%</w:t>
      </w:r>
    </w:p>
    <w:p>
      <w:pPr>
        <w:pStyle w:val="Compact"/>
        <w:numPr>
          <w:ilvl w:val="0"/>
          <w:numId w:val="1008"/>
        </w:numPr>
      </w:pPr>
      <w:r>
        <w:t xml:space="preserve">Same-facility revenue:</w:t>
      </w:r>
      <w:r>
        <w:t xml:space="preserve"> </w:t>
      </w:r>
      <w:r>
        <w:rPr>
          <w:b/>
          <w:bCs/>
        </w:rPr>
        <w:t xml:space="preserve">+7.3%</w:t>
      </w:r>
    </w:p>
    <w:p>
      <w:pPr>
        <w:pStyle w:val="Compact"/>
        <w:numPr>
          <w:ilvl w:val="0"/>
          <w:numId w:val="1008"/>
        </w:numPr>
      </w:pPr>
      <w:r>
        <w:t xml:space="preserve">Same-facility EBITDA:</w:t>
      </w:r>
      <w:r>
        <w:t xml:space="preserve"> </w:t>
      </w:r>
      <w:r>
        <w:rPr>
          <w:b/>
          <w:bCs/>
        </w:rPr>
        <w:t xml:space="preserve">+8.4%</w:t>
      </w:r>
    </w:p>
    <w:p>
      <w:pPr>
        <w:pStyle w:val="FirstParagraph"/>
      </w:pPr>
      <w:r>
        <w:t xml:space="preserve">Demand remains strong, but growth continues to be constrained by staffing and a shift toward outpatient care. Management previously targeted roughly</w:t>
      </w:r>
      <w:r>
        <w:t xml:space="preserve"> </w:t>
      </w:r>
      <w:r>
        <w:rPr>
          <w:b/>
          <w:bCs/>
        </w:rPr>
        <w:t xml:space="preserve">2%–3% behavioral volume growth</w:t>
      </w:r>
      <w:r>
        <w:t xml:space="preserve">, making Q2 patient days and outpatient revenue important indicators.</w:t>
      </w:r>
    </w:p>
    <w:p>
      <w:pPr>
        <w:pStyle w:val="BodyText"/>
      </w:pPr>
      <w:r>
        <w:t xml:space="preserve">The behavioral business should be capable of solid operating leverage if volume approaches the targeted range and wage inflation moderates.</w:t>
      </w:r>
    </w:p>
    <w:p>
      <w:r>
        <w:pict>
          <v:rect style="width:0;height:1.5pt" o:hralign="center" o:hrstd="t" o:hr="t"/>
        </w:pict>
      </w:r>
    </w:p>
    <w:bookmarkEnd w:id="20"/>
    <w:bookmarkEnd w:id="21"/>
    <w:bookmarkStart w:id="23" w:name="Xad92f1137ae58e65b6e8a1db6ab23e90834e4f4"/>
    <w:p>
      <w:pPr>
        <w:pStyle w:val="Heading2"/>
      </w:pPr>
      <w:r>
        <w:t xml:space="preserve">4. Labor and margin trends are nearly as important as volume</w:t>
      </w:r>
    </w:p>
    <w:p>
      <w:pPr>
        <w:pStyle w:val="FirstParagraph"/>
      </w:pPr>
      <w:r>
        <w:t xml:space="preserve">UHS managed acute-care expenses well in Q1:</w:t>
      </w:r>
    </w:p>
    <w:p>
      <w:pPr>
        <w:pStyle w:val="Compact"/>
        <w:numPr>
          <w:ilvl w:val="0"/>
          <w:numId w:val="1009"/>
        </w:numPr>
      </w:pPr>
      <w:r>
        <w:t xml:space="preserve">Salary, wage and benefit expense per adjusted admission increased 3.1%.</w:t>
      </w:r>
    </w:p>
    <w:p>
      <w:pPr>
        <w:pStyle w:val="Compact"/>
        <w:numPr>
          <w:ilvl w:val="0"/>
          <w:numId w:val="1009"/>
        </w:numPr>
      </w:pPr>
      <w:r>
        <w:t xml:space="preserve">Contract labor fell to 2.3% of acute revenue, down 40 basis points.</w:t>
      </w:r>
    </w:p>
    <w:p>
      <w:pPr>
        <w:pStyle w:val="Compact"/>
        <w:numPr>
          <w:ilvl w:val="0"/>
          <w:numId w:val="1009"/>
        </w:numPr>
      </w:pPr>
      <w:r>
        <w:t xml:space="preserve">Supply expense per adjusted admission increased 3.5%.</w:t>
      </w:r>
    </w:p>
    <w:p>
      <w:pPr>
        <w:pStyle w:val="FirstParagraph"/>
      </w:pPr>
      <w:r>
        <w:t xml:space="preserve">Behavioral labor remained more challenging. Salary and benefit expense per adjusted patient day increased approximately 6%, although that was an improvement from the 7%–8% increases experienced during 2025. Management expected further moderation as 2026 progressed.</w:t>
      </w:r>
    </w:p>
    <w:bookmarkStart w:id="22" w:name="q2-margin-issues-to-monitor"/>
    <w:p>
      <w:pPr>
        <w:pStyle w:val="Heading3"/>
      </w:pPr>
      <w:r>
        <w:t xml:space="preserve">Q2 margin issues to monitor</w:t>
      </w:r>
    </w:p>
    <w:p>
      <w:pPr>
        <w:pStyle w:val="Compact"/>
        <w:numPr>
          <w:ilvl w:val="0"/>
          <w:numId w:val="1010"/>
        </w:numPr>
      </w:pPr>
      <w:r>
        <w:t xml:space="preserve">Behavioral wage growth and employee turnover</w:t>
      </w:r>
    </w:p>
    <w:p>
      <w:pPr>
        <w:pStyle w:val="Compact"/>
        <w:numPr>
          <w:ilvl w:val="0"/>
          <w:numId w:val="1010"/>
        </w:numPr>
      </w:pPr>
      <w:r>
        <w:t xml:space="preserve">Contract-labor utilization</w:t>
      </w:r>
    </w:p>
    <w:p>
      <w:pPr>
        <w:pStyle w:val="Compact"/>
        <w:numPr>
          <w:ilvl w:val="0"/>
          <w:numId w:val="1010"/>
        </w:numPr>
      </w:pPr>
      <w:r>
        <w:t xml:space="preserve">Hospital-based physician and professional fees</w:t>
      </w:r>
    </w:p>
    <w:p>
      <w:pPr>
        <w:pStyle w:val="Compact"/>
        <w:numPr>
          <w:ilvl w:val="0"/>
          <w:numId w:val="1010"/>
        </w:numPr>
      </w:pPr>
      <w:r>
        <w:t xml:space="preserve">California staffing-ratio costs, which became effective June 1</w:t>
      </w:r>
    </w:p>
    <w:p>
      <w:pPr>
        <w:pStyle w:val="Compact"/>
        <w:numPr>
          <w:ilvl w:val="0"/>
          <w:numId w:val="1010"/>
        </w:numPr>
      </w:pPr>
      <w:r>
        <w:t xml:space="preserve">Start-up costs from new facilities</w:t>
      </w:r>
    </w:p>
    <w:p>
      <w:pPr>
        <w:pStyle w:val="Compact"/>
        <w:numPr>
          <w:ilvl w:val="0"/>
          <w:numId w:val="1010"/>
        </w:numPr>
      </w:pPr>
      <w:r>
        <w:t xml:space="preserve">Bad debt, which may be presented in other operating expense</w:t>
      </w:r>
    </w:p>
    <w:p>
      <w:pPr>
        <w:pStyle w:val="FirstParagraph"/>
      </w:pPr>
      <w:r>
        <w:t xml:space="preserve">The most constructive signal would be behavioral salary growth moving toward the mid-single digits while patient-day growth improves. Conversely, continued 6%–plus labor growth with sub-2% volumes would make meaningful margin expansion difficult.</w:t>
      </w:r>
    </w:p>
    <w:p>
      <w:r>
        <w:pict>
          <v:rect style="width:0;height:1.5pt" o:hralign="center" o:hrstd="t" o:hr="t"/>
        </w:pict>
      </w:r>
    </w:p>
    <w:bookmarkEnd w:id="22"/>
    <w:bookmarkEnd w:id="23"/>
    <w:bookmarkStart w:id="24" w:name="Xd1c82f115b6005c792d39922633a1ac3f04071d"/>
    <w:p>
      <w:pPr>
        <w:pStyle w:val="Heading2"/>
      </w:pPr>
      <w:r>
        <w:t xml:space="preserve">5. New capacity should begin contributing—but timing matters</w:t>
      </w:r>
    </w:p>
    <w:p>
      <w:pPr>
        <w:pStyle w:val="FirstParagraph"/>
      </w:pPr>
      <w:r>
        <w:t xml:space="preserve">Management expected earnings to accelerate through the year as new capacity opened and recent hospitals matured. Projects include:</w:t>
      </w:r>
    </w:p>
    <w:p>
      <w:pPr>
        <w:pStyle w:val="Compact"/>
        <w:numPr>
          <w:ilvl w:val="0"/>
          <w:numId w:val="1011"/>
        </w:numPr>
      </w:pPr>
      <w:r>
        <w:t xml:space="preserve">A 156-bed Florida acute-care hospital that was scheduled to open in May</w:t>
      </w:r>
    </w:p>
    <w:p>
      <w:pPr>
        <w:pStyle w:val="Compact"/>
        <w:numPr>
          <w:ilvl w:val="0"/>
          <w:numId w:val="1011"/>
        </w:numPr>
      </w:pPr>
      <w:r>
        <w:t xml:space="preserve">Two bed towers and a replacement hospital totaling 178 beds</w:t>
      </w:r>
    </w:p>
    <w:p>
      <w:pPr>
        <w:pStyle w:val="Compact"/>
        <w:numPr>
          <w:ilvl w:val="0"/>
          <w:numId w:val="1011"/>
        </w:numPr>
      </w:pPr>
      <w:r>
        <w:t xml:space="preserve">A recently opened 144-bed Pennsylvania behavioral joint venture</w:t>
      </w:r>
    </w:p>
    <w:p>
      <w:pPr>
        <w:pStyle w:val="Compact"/>
        <w:numPr>
          <w:ilvl w:val="0"/>
          <w:numId w:val="1011"/>
        </w:numPr>
      </w:pPr>
      <w:r>
        <w:t xml:space="preserve">A planned 120-bed Missouri behavioral hospital</w:t>
      </w:r>
    </w:p>
    <w:p>
      <w:pPr>
        <w:pStyle w:val="Compact"/>
        <w:numPr>
          <w:ilvl w:val="0"/>
          <w:numId w:val="1011"/>
        </w:numPr>
      </w:pPr>
      <w:r>
        <w:t xml:space="preserve">Continued ramp-up at Cedar Hill Regional Medical Center in Washington, D.C.</w:t>
      </w:r>
    </w:p>
    <w:p>
      <w:pPr>
        <w:pStyle w:val="FirstParagraph"/>
      </w:pPr>
      <w:r>
        <w:t xml:space="preserve">Cedar Hill and the new Florida hospital were expected to be roughly earnings-neutral in aggregate for 2026: Florida would initially generate start-up losses, offset by improvement at Cedar Hill. In Q1, however, management said Cedar Hill’s recovery had become somewhat more back-end-loaded.</w:t>
      </w:r>
    </w:p>
    <w:p>
      <w:pPr>
        <w:pStyle w:val="BodyText"/>
      </w:pPr>
      <w:r>
        <w:t xml:space="preserve">Investors should look for:</w:t>
      </w:r>
    </w:p>
    <w:p>
      <w:pPr>
        <w:pStyle w:val="Compact"/>
        <w:numPr>
          <w:ilvl w:val="0"/>
          <w:numId w:val="1012"/>
        </w:numPr>
      </w:pPr>
      <w:r>
        <w:t xml:space="preserve">Confirmation that the Florida hospital opened as planned</w:t>
      </w:r>
    </w:p>
    <w:p>
      <w:pPr>
        <w:pStyle w:val="Compact"/>
        <w:numPr>
          <w:ilvl w:val="0"/>
          <w:numId w:val="1012"/>
        </w:numPr>
      </w:pPr>
      <w:r>
        <w:t xml:space="preserve">Current Cedar Hill losses versus the $25 million loss recorded in Q2 2025</w:t>
      </w:r>
    </w:p>
    <w:p>
      <w:pPr>
        <w:pStyle w:val="Compact"/>
        <w:numPr>
          <w:ilvl w:val="0"/>
          <w:numId w:val="1012"/>
        </w:numPr>
      </w:pPr>
      <w:r>
        <w:t xml:space="preserve">Occupancy and profitability at recently opened capacity</w:t>
      </w:r>
    </w:p>
    <w:p>
      <w:pPr>
        <w:pStyle w:val="Compact"/>
        <w:numPr>
          <w:ilvl w:val="0"/>
          <w:numId w:val="1012"/>
        </w:numPr>
      </w:pPr>
      <w:r>
        <w:t xml:space="preserve">Whether the new towers are ramping quickly enough to support second-half guidance</w:t>
      </w:r>
    </w:p>
    <w:p>
      <w:pPr>
        <w:pStyle w:val="FirstParagraph"/>
      </w:pPr>
      <w:r>
        <w:t xml:space="preserve">If Cedar Hill improves against last year’s start-up losses, it should provide a favorable comparison even before becoming fully mature.</w:t>
      </w:r>
    </w:p>
    <w:p>
      <w:r>
        <w:pict>
          <v:rect style="width:0;height:1.5pt" o:hralign="center" o:hrstd="t" o:hr="t"/>
        </w:pict>
      </w:r>
    </w:p>
    <w:bookmarkEnd w:id="24"/>
    <w:bookmarkStart w:id="26" w:name="X4fd0d308a7d77063d58919fabf5ef6486db0b86"/>
    <w:p>
      <w:pPr>
        <w:pStyle w:val="Heading2"/>
      </w:pPr>
      <w:r>
        <w:t xml:space="preserve">6. Guidance may be raised—but the composition will matter</w:t>
      </w:r>
    </w:p>
    <w:p>
      <w:pPr>
        <w:pStyle w:val="FirstParagraph"/>
      </w:pPr>
      <w:r>
        <w:t xml:space="preserve">A guidance increase is plausible because the original outlook did not include the potential Florida benefit. But exchange losses could absorb some or all of that upside.</w:t>
      </w:r>
    </w:p>
    <w:bookmarkStart w:id="25" w:name="potential-outcomes"/>
    <w:p>
      <w:pPr>
        <w:pStyle w:val="Heading3"/>
      </w:pPr>
      <w:r>
        <w:t xml:space="preserve">Potential outcomes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Scenario</w:t>
            </w:r>
          </w:p>
        </w:tc>
        <w:tc>
          <w:tcPr/>
          <w:p>
            <w:pPr>
              <w:pStyle w:val="Compact"/>
            </w:pPr>
            <w:r>
              <w:t xml:space="preserve">Likely guidance response</w:t>
            </w:r>
          </w:p>
        </w:tc>
      </w:tr>
      <w:tr>
        <w:tc>
          <w:tcPr/>
          <w:p>
            <w:pPr>
              <w:pStyle w:val="Compact"/>
            </w:pPr>
            <w:r>
              <w:t xml:space="preserve">Florida benefit is large; exchange pressure remains near plan</w:t>
            </w:r>
          </w:p>
        </w:tc>
        <w:tc>
          <w:tcPr/>
          <w:p>
            <w:pPr>
              <w:pStyle w:val="Compact"/>
            </w:pPr>
            <w:r>
              <w:rPr>
                <w:b/>
                <w:bCs/>
              </w:rPr>
              <w:t xml:space="preserve">Raise EBITDA and EPS guidance</w:t>
            </w:r>
          </w:p>
        </w:tc>
      </w:tr>
      <w:tr>
        <w:tc>
          <w:tcPr/>
          <w:p>
            <w:pPr>
              <w:pStyle w:val="Compact"/>
            </w:pPr>
            <w:r>
              <w:t xml:space="preserve">Florida benefit is large; exchange pressure also worsens</w:t>
            </w:r>
          </w:p>
        </w:tc>
        <w:tc>
          <w:tcPr/>
          <w:p>
            <w:pPr>
              <w:pStyle w:val="Compact"/>
            </w:pPr>
            <w:r>
              <w:rPr>
                <w:b/>
                <w:bCs/>
              </w:rPr>
              <w:t xml:space="preserve">Maintain or modestly raise guidance</w:t>
            </w:r>
          </w:p>
        </w:tc>
      </w:tr>
      <w:tr>
        <w:tc>
          <w:tcPr/>
          <w:p>
            <w:pPr>
              <w:pStyle w:val="Compact"/>
            </w:pPr>
            <w:r>
              <w:t xml:space="preserve">Florida largely offsets an exchange revision</w:t>
            </w:r>
          </w:p>
        </w:tc>
        <w:tc>
          <w:tcPr/>
          <w:p>
            <w:pPr>
              <w:pStyle w:val="Compact"/>
            </w:pPr>
            <w:r>
              <w:rPr>
                <w:b/>
                <w:bCs/>
              </w:rPr>
              <w:t xml:space="preserve">Headline raise, but little change to underlying outlook</w:t>
            </w:r>
          </w:p>
        </w:tc>
      </w:tr>
      <w:tr>
        <w:tc>
          <w:tcPr/>
          <w:p>
            <w:pPr>
              <w:pStyle w:val="Compact"/>
            </w:pPr>
            <w:r>
              <w:t xml:space="preserve">Exchange losses materially exceed Florida and core growth stays soft</w:t>
            </w:r>
          </w:p>
        </w:tc>
        <w:tc>
          <w:tcPr/>
          <w:p>
            <w:pPr>
              <w:pStyle w:val="Compact"/>
            </w:pPr>
            <w:r>
              <w:rPr>
                <w:b/>
                <w:bCs/>
              </w:rPr>
              <w:t xml:space="preserve">Reduce or narrow guidance downward</w:t>
            </w:r>
          </w:p>
        </w:tc>
      </w:tr>
    </w:tbl>
    <w:p>
      <w:pPr>
        <w:pStyle w:val="BodyText"/>
      </w:pPr>
      <w:r>
        <w:t xml:space="preserve">The most useful disclosure would be a bridge separating:</w:t>
      </w:r>
    </w:p>
    <w:p>
      <w:pPr>
        <w:pStyle w:val="Compact"/>
        <w:numPr>
          <w:ilvl w:val="0"/>
          <w:numId w:val="1013"/>
        </w:numPr>
      </w:pPr>
      <w:r>
        <w:t xml:space="preserve">Core operating growth</w:t>
      </w:r>
    </w:p>
    <w:p>
      <w:pPr>
        <w:pStyle w:val="Compact"/>
        <w:numPr>
          <w:ilvl w:val="0"/>
          <w:numId w:val="1013"/>
        </w:numPr>
      </w:pPr>
      <w:r>
        <w:t xml:space="preserve">Medicaid supplemental payments</w:t>
      </w:r>
    </w:p>
    <w:p>
      <w:pPr>
        <w:pStyle w:val="Compact"/>
        <w:numPr>
          <w:ilvl w:val="0"/>
          <w:numId w:val="1013"/>
        </w:numPr>
      </w:pPr>
      <w:r>
        <w:t xml:space="preserve">Exchange/uninsured headwinds</w:t>
      </w:r>
    </w:p>
    <w:p>
      <w:pPr>
        <w:pStyle w:val="Compact"/>
        <w:numPr>
          <w:ilvl w:val="0"/>
          <w:numId w:val="1013"/>
        </w:numPr>
      </w:pPr>
      <w:r>
        <w:t xml:space="preserve">New-hospital start-up losses</w:t>
      </w:r>
    </w:p>
    <w:p>
      <w:pPr>
        <w:pStyle w:val="Compact"/>
        <w:numPr>
          <w:ilvl w:val="0"/>
          <w:numId w:val="1013"/>
        </w:numPr>
      </w:pPr>
      <w:r>
        <w:t xml:space="preserve">Talkspace-related effects</w:t>
      </w:r>
    </w:p>
    <w:p>
      <w:pPr>
        <w:pStyle w:val="Compact"/>
        <w:numPr>
          <w:ilvl w:val="0"/>
          <w:numId w:val="1013"/>
        </w:numPr>
      </w:pPr>
      <w:r>
        <w:t xml:space="preserve">Share repurchases</w:t>
      </w:r>
    </w:p>
    <w:p>
      <w:pPr>
        <w:pStyle w:val="FirstParagraph"/>
      </w:pPr>
      <w:r>
        <w:t xml:space="preserve">Without that bridge, a guidance increase may be difficult to interpret.</w:t>
      </w:r>
    </w:p>
    <w:p>
      <w:r>
        <w:pict>
          <v:rect style="width:0;height:1.5pt" o:hralign="center" o:hrstd="t" o:hr="t"/>
        </w:pict>
      </w:r>
    </w:p>
    <w:bookmarkEnd w:id="25"/>
    <w:bookmarkEnd w:id="26"/>
    <w:bookmarkStart w:id="29" w:name="X5120b133fe783bd18883d2b92cd3d8f35dd8370"/>
    <w:p>
      <w:pPr>
        <w:pStyle w:val="Heading2"/>
      </w:pPr>
      <w:r>
        <w:t xml:space="preserve">7. Talkspace and capital allocation</w:t>
      </w:r>
    </w:p>
    <w:p>
      <w:pPr>
        <w:pStyle w:val="FirstParagraph"/>
      </w:pPr>
      <w:r>
        <w:t xml:space="preserve">The proposed Talkspace acquisition remains strategically important. Talkspace shareholders approved the transaction on May 29, with approximately 73.5% of outstanding shares voting in favor. The transaction was originally expected to close during Q3 2026. (</w:t>
      </w:r>
      <w:hyperlink r:id="rId27">
        <w:r>
          <w:rPr>
            <w:rStyle w:val="Hyperlink"/>
          </w:rPr>
          <w:t xml:space="preserve">sec.gov</w:t>
        </w:r>
      </w:hyperlink>
      <w:r>
        <w:t xml:space="preserve">)</w:t>
      </w:r>
    </w:p>
    <w:p>
      <w:pPr>
        <w:pStyle w:val="BodyText"/>
      </w:pPr>
      <w:r>
        <w:t xml:space="preserve">UHS expects:</w:t>
      </w:r>
    </w:p>
    <w:p>
      <w:pPr>
        <w:pStyle w:val="Compact"/>
        <w:numPr>
          <w:ilvl w:val="0"/>
          <w:numId w:val="1014"/>
        </w:numPr>
      </w:pPr>
      <w:r>
        <w:t xml:space="preserve">Accretion during the first 12 months after closing</w:t>
      </w:r>
    </w:p>
    <w:p>
      <w:pPr>
        <w:pStyle w:val="Compact"/>
        <w:numPr>
          <w:ilvl w:val="0"/>
          <w:numId w:val="1014"/>
        </w:numPr>
      </w:pPr>
      <w:r>
        <w:t xml:space="preserve">Increasing accretion thereafter</w:t>
      </w:r>
    </w:p>
    <w:p>
      <w:pPr>
        <w:pStyle w:val="Compact"/>
        <w:numPr>
          <w:ilvl w:val="0"/>
          <w:numId w:val="1014"/>
        </w:numPr>
      </w:pPr>
      <w:r>
        <w:t xml:space="preserve">A single-digit effective EBITDA purchase multiple by the third year</w:t>
      </w:r>
    </w:p>
    <w:p>
      <w:pPr>
        <w:pStyle w:val="Compact"/>
        <w:numPr>
          <w:ilvl w:val="0"/>
          <w:numId w:val="1014"/>
        </w:numPr>
      </w:pPr>
      <w:r>
        <w:t xml:space="preserve">Revenue opportunities from connecting Talkspace’s virtual clinicians with UHS’s inpatient and outpatient behavioral network</w:t>
      </w:r>
    </w:p>
    <w:p>
      <w:pPr>
        <w:pStyle w:val="FirstParagraph"/>
      </w:pPr>
      <w:r>
        <w:t xml:space="preserve">The earnings call should clarify:</w:t>
      </w:r>
    </w:p>
    <w:p>
      <w:pPr>
        <w:pStyle w:val="Compact"/>
        <w:numPr>
          <w:ilvl w:val="0"/>
          <w:numId w:val="1015"/>
        </w:numPr>
      </w:pPr>
      <w:r>
        <w:t xml:space="preserve">Expected closing date and remaining regulatory conditions</w:t>
      </w:r>
    </w:p>
    <w:p>
      <w:pPr>
        <w:pStyle w:val="Compact"/>
        <w:numPr>
          <w:ilvl w:val="0"/>
          <w:numId w:val="1015"/>
        </w:numPr>
      </w:pPr>
      <w:r>
        <w:t xml:space="preserve">Whether Talkspace will be incorporated into 2026 guidance</w:t>
      </w:r>
    </w:p>
    <w:p>
      <w:pPr>
        <w:pStyle w:val="Compact"/>
        <w:numPr>
          <w:ilvl w:val="0"/>
          <w:numId w:val="1015"/>
        </w:numPr>
      </w:pPr>
      <w:r>
        <w:t xml:space="preserve">Initial integration and transaction costs</w:t>
      </w:r>
    </w:p>
    <w:p>
      <w:pPr>
        <w:pStyle w:val="Compact"/>
        <w:numPr>
          <w:ilvl w:val="0"/>
          <w:numId w:val="1015"/>
        </w:numPr>
      </w:pPr>
      <w:r>
        <w:t xml:space="preserve">Expected first-year EPS contribution</w:t>
      </w:r>
    </w:p>
    <w:p>
      <w:pPr>
        <w:pStyle w:val="Compact"/>
        <w:numPr>
          <w:ilvl w:val="0"/>
          <w:numId w:val="1015"/>
        </w:numPr>
      </w:pPr>
      <w:r>
        <w:t xml:space="preserve">Planned virtual intensive-outpatient and patient step-down programs</w:t>
      </w:r>
    </w:p>
    <w:p>
      <w:pPr>
        <w:pStyle w:val="FirstParagraph"/>
      </w:pPr>
      <w:r>
        <w:t xml:space="preserve">UHS arranged a $400 million delayed-draw term loan in April specifically to fund the acquisition. It subsequently added a separate $700 million, 364-day delayed-draw facility for general corporate purposes and potential debt refinancing. (</w:t>
      </w:r>
      <w:hyperlink r:id="rId28">
        <w:r>
          <w:rPr>
            <w:rStyle w:val="Hyperlink"/>
          </w:rPr>
          <w:t xml:space="preserve">sec.gov</w:t>
        </w:r>
      </w:hyperlink>
      <w:r>
        <w:t xml:space="preserve">)</w:t>
      </w:r>
    </w:p>
    <w:p>
      <w:pPr>
        <w:pStyle w:val="BodyText"/>
      </w:pPr>
      <w:r>
        <w:t xml:space="preserve">Despite the acquisition, management had indicated that share repurchases remained a priority. UHS bought back 675,000 shares for $127 million in Q1 at an average price near $189 and had approximately $1.3 billion of authorization remaining.</w:t>
      </w:r>
    </w:p>
    <w:p>
      <w:pPr>
        <w:pStyle w:val="BodyText"/>
      </w:pPr>
      <w:r>
        <w:t xml:space="preserve">With the stock recently below that Q1 repurchase price, investors will want to know whether buyback activity accelerated.</w:t>
      </w:r>
    </w:p>
    <w:p>
      <w:r>
        <w:pict>
          <v:rect style="width:0;height:1.5pt" o:hralign="center" o:hrstd="t" o:hr="t"/>
        </w:pict>
      </w:r>
    </w:p>
    <w:bookmarkEnd w:id="29"/>
    <w:bookmarkStart w:id="30" w:name="stock-setup-and-valuation"/>
    <w:p>
      <w:pPr>
        <w:pStyle w:val="Heading2"/>
      </w:pPr>
      <w:r>
        <w:t xml:space="preserve">Stock setup and valuation</w:t>
      </w:r>
    </w:p>
    <w:p>
      <w:pPr>
        <w:pStyle w:val="FirstParagraph"/>
      </w:pPr>
      <w:r>
        <w:t xml:space="preserve">UHS closed July 24 at approximately</w:t>
      </w:r>
      <w:r>
        <w:t xml:space="preserve"> </w:t>
      </w:r>
      <w:r>
        <w:rPr>
          <w:b/>
          <w:bCs/>
        </w:rPr>
        <w:t xml:space="preserve">$155.78</w:t>
      </w:r>
      <w:r>
        <w:t xml:space="preserve">, down roughly:</w:t>
      </w:r>
    </w:p>
    <w:p>
      <w:pPr>
        <w:pStyle w:val="Compact"/>
        <w:numPr>
          <w:ilvl w:val="0"/>
          <w:numId w:val="1016"/>
        </w:numPr>
      </w:pPr>
      <w:r>
        <w:rPr>
          <w:b/>
          <w:bCs/>
        </w:rPr>
        <w:t xml:space="preserve">29% from the beginning of 2026</w:t>
      </w:r>
    </w:p>
    <w:p>
      <w:pPr>
        <w:pStyle w:val="Compact"/>
        <w:numPr>
          <w:ilvl w:val="0"/>
          <w:numId w:val="1016"/>
        </w:numPr>
      </w:pPr>
      <w:r>
        <w:rPr>
          <w:b/>
          <w:bCs/>
        </w:rPr>
        <w:t xml:space="preserve">32% from its February 25 close</w:t>
      </w:r>
      <w:r>
        <w:t xml:space="preserve">, immediately before full-year guidance was discussed</w:t>
      </w:r>
    </w:p>
    <w:p>
      <w:pPr>
        <w:pStyle w:val="FirstParagraph"/>
      </w:pPr>
      <w:r>
        <w:t xml:space="preserve">At that price, the stock trades at approximately</w:t>
      </w:r>
      <w:r>
        <w:t xml:space="preserve"> </w:t>
      </w:r>
      <w:r>
        <w:rPr>
          <w:b/>
          <w:bCs/>
        </w:rPr>
        <w:t xml:space="preserve">6.6 times the midpoint of 2026 adjusted EPS guidance</w:t>
      </w:r>
      <w:r>
        <w:t xml:space="preserve">.</w:t>
      </w:r>
    </w:p>
    <w:p>
      <w:pPr>
        <w:pStyle w:val="BodyText"/>
      </w:pPr>
      <w:r>
        <w:t xml:space="preserve">That is a low headline multiple, but the discount reflects several legitimate concerns:</w:t>
      </w:r>
    </w:p>
    <w:p>
      <w:pPr>
        <w:pStyle w:val="Compact"/>
        <w:numPr>
          <w:ilvl w:val="0"/>
          <w:numId w:val="1017"/>
        </w:numPr>
      </w:pPr>
      <w:r>
        <w:t xml:space="preserve">Exchange coverage losses and uncompensated care</w:t>
      </w:r>
    </w:p>
    <w:p>
      <w:pPr>
        <w:pStyle w:val="Compact"/>
        <w:numPr>
          <w:ilvl w:val="0"/>
          <w:numId w:val="1017"/>
        </w:numPr>
      </w:pPr>
      <w:r>
        <w:t xml:space="preserve">Dependence on Medicaid supplemental-payment programs</w:t>
      </w:r>
    </w:p>
    <w:p>
      <w:pPr>
        <w:pStyle w:val="Compact"/>
        <w:numPr>
          <w:ilvl w:val="0"/>
          <w:numId w:val="1017"/>
        </w:numPr>
      </w:pPr>
      <w:r>
        <w:t xml:space="preserve">Uncertainty over the durability of core EBITDA growth</w:t>
      </w:r>
    </w:p>
    <w:p>
      <w:pPr>
        <w:pStyle w:val="Compact"/>
        <w:numPr>
          <w:ilvl w:val="0"/>
          <w:numId w:val="1017"/>
        </w:numPr>
      </w:pPr>
      <w:r>
        <w:t xml:space="preserve">Behavioral labor costs</w:t>
      </w:r>
    </w:p>
    <w:p>
      <w:pPr>
        <w:pStyle w:val="Compact"/>
        <w:numPr>
          <w:ilvl w:val="0"/>
          <w:numId w:val="1017"/>
        </w:numPr>
      </w:pPr>
      <w:r>
        <w:t xml:space="preserve">New-hospital execution</w:t>
      </w:r>
    </w:p>
    <w:p>
      <w:pPr>
        <w:pStyle w:val="Compact"/>
        <w:numPr>
          <w:ilvl w:val="0"/>
          <w:numId w:val="1017"/>
        </w:numPr>
      </w:pPr>
      <w:r>
        <w:t xml:space="preserve">Acquisition and integration risk</w:t>
      </w:r>
    </w:p>
    <w:p>
      <w:pPr>
        <w:pStyle w:val="FirstParagraph"/>
      </w:pPr>
      <w:r>
        <w:t xml:space="preserve">The low valuation creates room for upside if management can demonstrate that exchange pressure is contained and core earnings are improving. It does not, however, eliminate the risk of another guidance reset.</w:t>
      </w:r>
    </w:p>
    <w:p>
      <w:r>
        <w:pict>
          <v:rect style="width:0;height:1.5pt" o:hralign="center" o:hrstd="t" o:hr="t"/>
        </w:pict>
      </w:r>
    </w:p>
    <w:bookmarkEnd w:id="30"/>
    <w:bookmarkStart w:id="31" w:name="investor-scorecard"/>
    <w:p>
      <w:pPr>
        <w:pStyle w:val="Heading2"/>
      </w:pPr>
      <w:r>
        <w:t xml:space="preserve">Investor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Indicator</w:t>
            </w:r>
          </w:p>
        </w:tc>
        <w:tc>
          <w:tcPr/>
          <w:p>
            <w:pPr>
              <w:pStyle w:val="Compact"/>
            </w:pPr>
            <w:r>
              <w:t xml:space="preserve">Constructive</w:t>
            </w:r>
          </w:p>
        </w:tc>
        <w:tc>
          <w:tcPr/>
          <w:p>
            <w:pPr>
              <w:pStyle w:val="Compact"/>
            </w:pPr>
            <w:r>
              <w:t xml:space="preserve">Concerning</w:t>
            </w:r>
          </w:p>
        </w:tc>
      </w:tr>
      <w:tr>
        <w:tc>
          <w:tcPr/>
          <w:p>
            <w:pPr>
              <w:pStyle w:val="Compact"/>
            </w:pPr>
            <w:r>
              <w:rPr>
                <w:b/>
                <w:bCs/>
              </w:rPr>
              <w:t xml:space="preserve">Exchange headwind</w:t>
            </w:r>
          </w:p>
        </w:tc>
        <w:tc>
          <w:tcPr/>
          <w:p>
            <w:pPr>
              <w:pStyle w:val="Compact"/>
            </w:pPr>
            <w:r>
              <w:t xml:space="preserve">Full-year estimate stays near $75M</w:t>
            </w:r>
          </w:p>
        </w:tc>
        <w:tc>
          <w:tcPr/>
          <w:p>
            <w:pPr>
              <w:pStyle w:val="Compact"/>
            </w:pPr>
            <w:r>
              <w:t xml:space="preserve">Material increase; sharp uninsured-volume growth</w:t>
            </w:r>
          </w:p>
        </w:tc>
      </w:tr>
      <w:tr>
        <w:tc>
          <w:tcPr/>
          <w:p>
            <w:pPr>
              <w:pStyle w:val="Compact"/>
            </w:pPr>
            <w:r>
              <w:rPr>
                <w:b/>
                <w:bCs/>
              </w:rPr>
              <w:t xml:space="preserve">Florida payment</w:t>
            </w:r>
          </w:p>
        </w:tc>
        <w:tc>
          <w:tcPr/>
          <w:p>
            <w:pPr>
              <w:pStyle w:val="Compact"/>
            </w:pPr>
            <w:r>
              <w:t xml:space="preserve">Benefit above $50M with recurring component</w:t>
            </w:r>
          </w:p>
        </w:tc>
        <w:tc>
          <w:tcPr/>
          <w:p>
            <w:pPr>
              <w:pStyle w:val="Compact"/>
            </w:pPr>
            <w:r>
              <w:t xml:space="preserve">Mostly retroactive and consumed by bad debt</w:t>
            </w:r>
          </w:p>
        </w:tc>
      </w:tr>
      <w:tr>
        <w:tc>
          <w:tcPr/>
          <w:p>
            <w:pPr>
              <w:pStyle w:val="Compact"/>
            </w:pPr>
            <w:r>
              <w:rPr>
                <w:b/>
                <w:bCs/>
              </w:rPr>
              <w:t xml:space="preserve">Acute volume</w:t>
            </w:r>
          </w:p>
        </w:tc>
        <w:tc>
          <w:tcPr/>
          <w:p>
            <w:pPr>
              <w:pStyle w:val="Compact"/>
            </w:pPr>
            <w:r>
              <w:t xml:space="preserve">Adjusted admissions +2% or better</w:t>
            </w:r>
          </w:p>
        </w:tc>
        <w:tc>
          <w:tcPr/>
          <w:p>
            <w:pPr>
              <w:pStyle w:val="Compact"/>
            </w:pPr>
            <w:r>
              <w:t xml:space="preserve">Flat/negative volume or weak surgery mix</w:t>
            </w:r>
          </w:p>
        </w:tc>
      </w:tr>
      <w:tr>
        <w:tc>
          <w:tcPr/>
          <w:p>
            <w:pPr>
              <w:pStyle w:val="Compact"/>
            </w:pPr>
            <w:r>
              <w:rPr>
                <w:b/>
                <w:bCs/>
              </w:rPr>
              <w:t xml:space="preserve">Behavioral volume</w:t>
            </w:r>
          </w:p>
        </w:tc>
        <w:tc>
          <w:tcPr/>
          <w:p>
            <w:pPr>
              <w:pStyle w:val="Compact"/>
            </w:pPr>
            <w:r>
              <w:t xml:space="preserve">Patient days near +2%–3%</w:t>
            </w:r>
          </w:p>
        </w:tc>
        <w:tc>
          <w:tcPr/>
          <w:p>
            <w:pPr>
              <w:pStyle w:val="Compact"/>
            </w:pPr>
            <w:r>
              <w:t xml:space="preserve">Below 2% despite staffing investments</w:t>
            </w:r>
          </w:p>
        </w:tc>
      </w:tr>
      <w:tr>
        <w:tc>
          <w:tcPr/>
          <w:p>
            <w:pPr>
              <w:pStyle w:val="Compact"/>
            </w:pPr>
            <w:r>
              <w:rPr>
                <w:b/>
                <w:bCs/>
              </w:rPr>
              <w:t xml:space="preserve">Behavioral labor</w:t>
            </w:r>
          </w:p>
        </w:tc>
        <w:tc>
          <w:tcPr/>
          <w:p>
            <w:pPr>
              <w:pStyle w:val="Compact"/>
            </w:pPr>
            <w:r>
              <w:t xml:space="preserve">Wage growth moderates toward mid-single digits</w:t>
            </w:r>
          </w:p>
        </w:tc>
        <w:tc>
          <w:tcPr/>
          <w:p>
            <w:pPr>
              <w:pStyle w:val="Compact"/>
            </w:pPr>
            <w:r>
              <w:t xml:space="preserve">Remains 6%–plus without operating leverage</w:t>
            </w:r>
          </w:p>
        </w:tc>
      </w:tr>
      <w:tr>
        <w:tc>
          <w:tcPr/>
          <w:p>
            <w:pPr>
              <w:pStyle w:val="Compact"/>
            </w:pPr>
            <w:r>
              <w:rPr>
                <w:b/>
                <w:bCs/>
              </w:rPr>
              <w:t xml:space="preserve">Core EBITDA</w:t>
            </w:r>
          </w:p>
        </w:tc>
        <w:tc>
          <w:tcPr/>
          <w:p>
            <w:pPr>
              <w:pStyle w:val="Compact"/>
            </w:pPr>
            <w:r>
              <w:t xml:space="preserve">Clear acceleration versus Q1</w:t>
            </w:r>
          </w:p>
        </w:tc>
        <w:tc>
          <w:tcPr/>
          <w:p>
            <w:pPr>
              <w:pStyle w:val="Compact"/>
            </w:pPr>
            <w:r>
              <w:t xml:space="preserve">Growth relies primarily on supplemental payments</w:t>
            </w:r>
          </w:p>
        </w:tc>
      </w:tr>
      <w:tr>
        <w:tc>
          <w:tcPr/>
          <w:p>
            <w:pPr>
              <w:pStyle w:val="Compact"/>
            </w:pPr>
            <w:r>
              <w:rPr>
                <w:b/>
                <w:bCs/>
              </w:rPr>
              <w:t xml:space="preserve">Guidance</w:t>
            </w:r>
          </w:p>
        </w:tc>
        <w:tc>
          <w:tcPr/>
          <w:p>
            <w:pPr>
              <w:pStyle w:val="Compact"/>
            </w:pPr>
            <w:r>
              <w:t xml:space="preserve">Raised for both Florida and stronger operations</w:t>
            </w:r>
          </w:p>
        </w:tc>
        <w:tc>
          <w:tcPr/>
          <w:p>
            <w:pPr>
              <w:pStyle w:val="Compact"/>
            </w:pPr>
            <w:r>
              <w:t xml:space="preserve">Maintained only because Florida offsets exchange losses</w:t>
            </w:r>
          </w:p>
        </w:tc>
      </w:tr>
      <w:tr>
        <w:tc>
          <w:tcPr/>
          <w:p>
            <w:pPr>
              <w:pStyle w:val="Compact"/>
            </w:pPr>
            <w:r>
              <w:rPr>
                <w:b/>
                <w:bCs/>
              </w:rPr>
              <w:t xml:space="preserve">Talkspace</w:t>
            </w:r>
          </w:p>
        </w:tc>
        <w:tc>
          <w:tcPr/>
          <w:p>
            <w:pPr>
              <w:pStyle w:val="Compact"/>
            </w:pPr>
            <w:r>
              <w:t xml:space="preserve">Q3 close reaffirmed; accretion quantified</w:t>
            </w:r>
          </w:p>
        </w:tc>
        <w:tc>
          <w:tcPr/>
          <w:p>
            <w:pPr>
              <w:pStyle w:val="Compact"/>
            </w:pPr>
            <w:r>
              <w:t xml:space="preserve">Delay, higher costs or reduced buybacks</w:t>
            </w:r>
          </w:p>
        </w:tc>
      </w:tr>
      <w:tr>
        <w:tc>
          <w:tcPr/>
          <w:p>
            <w:pPr>
              <w:pStyle w:val="Compact"/>
            </w:pPr>
            <w:r>
              <w:rPr>
                <w:b/>
                <w:bCs/>
              </w:rPr>
              <w:t xml:space="preserve">Cash flow</w:t>
            </w:r>
          </w:p>
        </w:tc>
        <w:tc>
          <w:tcPr/>
          <w:p>
            <w:pPr>
              <w:pStyle w:val="Compact"/>
            </w:pPr>
            <w:r>
              <w:t xml:space="preserve">Strong collections and stable DSO</w:t>
            </w:r>
          </w:p>
        </w:tc>
        <w:tc>
          <w:tcPr/>
          <w:p>
            <w:pPr>
              <w:pStyle w:val="Compact"/>
            </w:pPr>
            <w:r>
              <w:t xml:space="preserve">Rising receivables or bad-debt reserves</w:t>
            </w:r>
          </w:p>
        </w:tc>
      </w:tr>
    </w:tbl>
    <w:bookmarkEnd w:id="31"/>
    <w:bookmarkStart w:id="32" w:name="bottom-line"/>
    <w:p>
      <w:pPr>
        <w:pStyle w:val="Heading2"/>
      </w:pPr>
      <w:r>
        <w:t xml:space="preserve">Bottom line</w:t>
      </w:r>
    </w:p>
    <w:p>
      <w:pPr>
        <w:pStyle w:val="FirstParagraph"/>
      </w:pPr>
      <w:r>
        <w:rPr>
          <w:b/>
          <w:bCs/>
        </w:rPr>
        <w:t xml:space="preserve">The most likely outcome is a noisy quarter in which Florida Medicaid payments support reported earnings, while management increases its estimate of exchange-related pressure.</w:t>
      </w:r>
      <w:r>
        <w:t xml:space="preserve"> </w:t>
      </w:r>
      <w:r>
        <w:t xml:space="preserve">The stock reaction will depend on which change is larger and, more importantly, whether underlying hospital EBITDA is finally accelerating.</w:t>
      </w:r>
    </w:p>
    <w:p>
      <w:pPr>
        <w:pStyle w:val="BodyText"/>
      </w:pPr>
      <w:r>
        <w:t xml:space="preserve">A genuinely bullish report would combine:</w:t>
      </w:r>
    </w:p>
    <w:p>
      <w:pPr>
        <w:pStyle w:val="Compact"/>
        <w:numPr>
          <w:ilvl w:val="0"/>
          <w:numId w:val="1018"/>
        </w:numPr>
      </w:pPr>
      <w:r>
        <w:t xml:space="preserve">A Florida benefit above the original $50 million estimate</w:t>
      </w:r>
    </w:p>
    <w:p>
      <w:pPr>
        <w:pStyle w:val="Compact"/>
        <w:numPr>
          <w:ilvl w:val="0"/>
          <w:numId w:val="1018"/>
        </w:numPr>
      </w:pPr>
      <w:r>
        <w:t xml:space="preserve">Only a manageable increase in exchange losses</w:t>
      </w:r>
    </w:p>
    <w:p>
      <w:pPr>
        <w:pStyle w:val="Compact"/>
        <w:numPr>
          <w:ilvl w:val="0"/>
          <w:numId w:val="1018"/>
        </w:numPr>
      </w:pPr>
      <w:r>
        <w:t xml:space="preserve">Better acute and behavioral volumes</w:t>
      </w:r>
    </w:p>
    <w:p>
      <w:pPr>
        <w:pStyle w:val="Compact"/>
        <w:numPr>
          <w:ilvl w:val="0"/>
          <w:numId w:val="1018"/>
        </w:numPr>
      </w:pPr>
      <w:r>
        <w:t xml:space="preserve">Further behavioral wage moderation</w:t>
      </w:r>
    </w:p>
    <w:p>
      <w:pPr>
        <w:pStyle w:val="Compact"/>
        <w:numPr>
          <w:ilvl w:val="0"/>
          <w:numId w:val="1018"/>
        </w:numPr>
      </w:pPr>
      <w:r>
        <w:t xml:space="preserve">Improved Cedar Hill performance</w:t>
      </w:r>
    </w:p>
    <w:p>
      <w:pPr>
        <w:pStyle w:val="Compact"/>
        <w:numPr>
          <w:ilvl w:val="0"/>
          <w:numId w:val="1018"/>
        </w:numPr>
      </w:pPr>
      <w:r>
        <w:t xml:space="preserve">A credible guidance raise not dependent solely on retroactive payments</w:t>
      </w:r>
    </w:p>
    <w:p>
      <w:pPr>
        <w:pStyle w:val="FirstParagraph"/>
      </w:pPr>
      <w:r>
        <w:t xml:space="preserve">A headline beat without those elements may provide only limited reassurance. The decisive disclosures are likely to come on tomorrow’s call rather than in the after-hours EPS number.</w:t>
      </w:r>
    </w:p>
    <w:bookmarkEnd w:id="32"/>
    <w:bookmarkEnd w:id="3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4" Target="https://investor.hcahealthcare.com/news/news-details/2026/HCA-Healthcare-Previews-Second-Quarter-2026-Results/default.aspx?utm_source=openai" TargetMode="External" /><Relationship Type="http://schemas.openxmlformats.org/officeDocument/2006/relationships/hyperlink" Id="rId9" Target="https://ir.uhs.com/events/event-details/q2-2026-universal-health-services-earnings-conference-call" TargetMode="External" /><Relationship Type="http://schemas.openxmlformats.org/officeDocument/2006/relationships/hyperlink" Id="rId12" Target="https://ir.uhs.com/news-releases/news-release-details/universal-health-services-inc-announces-financial-results-2?utm_source=openai" TargetMode="External" /><Relationship Type="http://schemas.openxmlformats.org/officeDocument/2006/relationships/hyperlink" Id="rId11" Target="https://tickerleague.com/companies/UHS/estimates?utm_source=openai" TargetMode="External" /><Relationship Type="http://schemas.openxmlformats.org/officeDocument/2006/relationships/hyperlink" Id="rId27" Target="https://www.sec.gov/Archives/edgar/data/1803901/000095015726000666/form8-k.htm?utm_source=openai" TargetMode="External" /><Relationship Type="http://schemas.openxmlformats.org/officeDocument/2006/relationships/hyperlink" Id="rId28" Target="https://www.sec.gov/Archives/edgar/data/352915/000119312526175197/uhs-20260422.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14" Target="https://investor.hcahealthcare.com/news/news-details/2026/HCA-Healthcare-Previews-Second-Quarter-2026-Results/default.aspx?utm_source=openai" TargetMode="External" /><Relationship Type="http://schemas.openxmlformats.org/officeDocument/2006/relationships/hyperlink" Id="rId9" Target="https://ir.uhs.com/events/event-details/q2-2026-universal-health-services-earnings-conference-call" TargetMode="External" /><Relationship Type="http://schemas.openxmlformats.org/officeDocument/2006/relationships/hyperlink" Id="rId12" Target="https://ir.uhs.com/news-releases/news-release-details/universal-health-services-inc-announces-financial-results-2?utm_source=openai" TargetMode="External" /><Relationship Type="http://schemas.openxmlformats.org/officeDocument/2006/relationships/hyperlink" Id="rId11" Target="https://tickerleague.com/companies/UHS/estimates?utm_source=openai" TargetMode="External" /><Relationship Type="http://schemas.openxmlformats.org/officeDocument/2006/relationships/hyperlink" Id="rId27" Target="https://www.sec.gov/Archives/edgar/data/1803901/000095015726000666/form8-k.htm?utm_source=openai" TargetMode="External" /><Relationship Type="http://schemas.openxmlformats.org/officeDocument/2006/relationships/hyperlink" Id="rId28" Target="https://www.sec.gov/Archives/edgar/data/352915/000119312526175197/uhs-20260422.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2026-07-27T00:28:09Z</dcterms:created>
  <dcterms:modified xsi:type="dcterms:W3CDTF">2026-07-27T00:28:09Z</dcterms:modified>
</cp:coreProperties>
</file>

<file path=docProps/custom.xml><?xml version="1.0" encoding="utf-8"?>
<Properties xmlns="http://schemas.openxmlformats.org/officeDocument/2006/custom-properties" xmlns:vt="http://schemas.openxmlformats.org/officeDocument/2006/docPropsVTypes"/>
</file>