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uhs-2q26-earnings-preview"/>
    <w:p>
      <w:pPr>
        <w:pStyle w:val="Heading1"/>
      </w:pPr>
      <w:r>
        <w:t xml:space="preserve">UHS 2Q26 Earnings Preview</w:t>
      </w:r>
    </w:p>
    <w:p>
      <w:pPr>
        <w:pStyle w:val="BlockText"/>
      </w:pPr>
      <w:r>
        <w:rPr>
          <w:b/>
          <w:bCs/>
        </w:rPr>
        <w:t xml:space="preserve">Timing note:</w:t>
      </w:r>
      <w:r>
        <w:t xml:space="preserve"> </w:t>
      </w:r>
      <w:r>
        <w:t xml:space="preserve">UHS will release 2Q26 results</w:t>
      </w:r>
      <w:r>
        <w:t xml:space="preserve"> </w:t>
      </w:r>
      <w:r>
        <w:rPr>
          <w:b/>
          <w:bCs/>
        </w:rPr>
        <w:t xml:space="preserve">after the market close on Monday, July 27, 2026</w:t>
      </w:r>
      <w:r>
        <w:t xml:space="preserve">, with the earnings call scheduled for</w:t>
      </w:r>
      <w:r>
        <w:t xml:space="preserve"> </w:t>
      </w:r>
      <w:r>
        <w:rPr>
          <w:b/>
          <w:bCs/>
        </w:rPr>
        <w:t xml:space="preserve">Tuesday, July 28 at 9:00 a.m. ET</w:t>
      </w:r>
      <w:r>
        <w:t xml:space="preserve">. So the report is due</w:t>
      </w:r>
      <w:r>
        <w:t xml:space="preserve"> </w:t>
      </w:r>
      <w:r>
        <w:rPr>
          <w:i/>
          <w:iCs/>
        </w:rPr>
        <w:t xml:space="preserve">today</w:t>
      </w:r>
      <w:r>
        <w:t xml:space="preserve">, rather than tomorrow.</w:t>
      </w:r>
    </w:p>
    <w:bookmarkStart w:id="9" w:name="X40f92d695dd1ebed25f276216395c2fec8d146f"/>
    <w:p>
      <w:pPr>
        <w:pStyle w:val="Heading2"/>
      </w:pPr>
      <w:r>
        <w:t xml:space="preserve">Investment view: the quarter should be strong on reported earnings, but the debate is on underlying operations and the 2026 outlook</w:t>
      </w:r>
    </w:p>
    <w:p>
      <w:pPr>
        <w:pStyle w:val="FirstParagraph"/>
      </w:pPr>
      <w:r>
        <w:t xml:space="preserve">UHS enters 2Q with an unusually visible earnings tailwind: management disclosed at its June investor conference that it expects roughly</w:t>
      </w:r>
      <w:r>
        <w:t xml:space="preserve"> </w:t>
      </w:r>
      <w:r>
        <w:rPr>
          <w:b/>
          <w:bCs/>
        </w:rPr>
        <w:t xml:space="preserve">$100 million of retroactive benefit</w:t>
      </w:r>
      <w:r>
        <w:t xml:space="preserve"> </w:t>
      </w:r>
      <w:r>
        <w:t xml:space="preserve">from Florida’s approved 2025 Medicaid supplemental-payment program to be recognized in 2Q. That should make the headline result—and likely the reported EBITDA/EPS comparison—look very strong.</w:t>
      </w:r>
    </w:p>
    <w:p>
      <w:pPr>
        <w:pStyle w:val="BodyText"/>
      </w:pPr>
      <w:r>
        <w:t xml:space="preserve">The more important issue for investors is whether the</w:t>
      </w:r>
      <w:r>
        <w:t xml:space="preserve"> </w:t>
      </w:r>
      <w:r>
        <w:rPr>
          <w:b/>
          <w:bCs/>
        </w:rPr>
        <w:t xml:space="preserve">core business has accelerated enough</w:t>
      </w:r>
      <w:r>
        <w:t xml:space="preserve"> </w:t>
      </w:r>
      <w:r>
        <w:t xml:space="preserve">to support or raise the existing 2026 framework after adjusting for that discrete benefit. In 1Q, UHS delivered solid reported growth, but acute-care volumes were flat and investors focused on a softer underlying earnings run rate after stripping out supplemental payments, weather/flu effects, and other non-core items.</w:t>
      </w:r>
    </w:p>
    <w:p>
      <w:pPr>
        <w:pStyle w:val="BodyText"/>
      </w:pPr>
      <w:r>
        <w:t xml:space="preserve">The 2Q report should therefore resolve four questions:</w:t>
      </w:r>
    </w:p>
    <w:p>
      <w:pPr>
        <w:pStyle w:val="Compact"/>
        <w:numPr>
          <w:ilvl w:val="0"/>
          <w:numId w:val="1001"/>
        </w:numPr>
      </w:pPr>
      <w:r>
        <w:rPr>
          <w:b/>
          <w:bCs/>
        </w:rPr>
        <w:t xml:space="preserve">Did acute and behavioral volumes recover toward the 2%–3% full-year target?</w:t>
      </w:r>
    </w:p>
    <w:p>
      <w:pPr>
        <w:pStyle w:val="Compact"/>
        <w:numPr>
          <w:ilvl w:val="0"/>
          <w:numId w:val="1001"/>
        </w:numPr>
      </w:pPr>
      <w:r>
        <w:rPr>
          <w:b/>
          <w:bCs/>
        </w:rPr>
        <w:t xml:space="preserve">Is the Florida supplemental-payment windfall treated as upside to guidance, and is there visibility into the 2026 Florida program?</w:t>
      </w:r>
    </w:p>
    <w:p>
      <w:pPr>
        <w:pStyle w:val="Compact"/>
        <w:numPr>
          <w:ilvl w:val="0"/>
          <w:numId w:val="1001"/>
        </w:numPr>
      </w:pPr>
      <w:r>
        <w:rPr>
          <w:b/>
          <w:bCs/>
        </w:rPr>
        <w:t xml:space="preserve">Are exchange-related bad debt/uncompensated-care trends tracking within the planned $75 million pretax headwind?</w:t>
      </w:r>
    </w:p>
    <w:p>
      <w:pPr>
        <w:pStyle w:val="Compact"/>
        <w:numPr>
          <w:ilvl w:val="0"/>
          <w:numId w:val="1001"/>
        </w:numPr>
      </w:pPr>
      <w:r>
        <w:rPr>
          <w:b/>
          <w:bCs/>
        </w:rPr>
        <w:t xml:space="preserve">Can new capacity, behavioral outpatient expansion, and expense discipline offset policy and start-up headwinds in the second half?</w:t>
      </w:r>
    </w:p>
    <w:bookmarkEnd w:id="9"/>
    <w:bookmarkStart w:id="10" w:name="why-this-report-matters"/>
    <w:p>
      <w:pPr>
        <w:pStyle w:val="Heading2"/>
      </w:pPr>
      <w:r>
        <w:t xml:space="preserve">Why this report matters</w:t>
      </w:r>
    </w:p>
    <w:p>
      <w:pPr>
        <w:pStyle w:val="FirstParagraph"/>
      </w:pPr>
      <w:r>
        <w:t xml:space="preserve">UHS’s 2026 guidance remains broad:</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2026 guidance</w:t>
            </w:r>
          </w:p>
        </w:tc>
        <w:tc>
          <w:tcPr/>
          <w:p>
            <w:pPr>
              <w:pStyle w:val="Compact"/>
              <w:jc w:val="right"/>
            </w:pPr>
            <w:r>
              <w:t xml:space="preserve">Range</w:t>
            </w:r>
          </w:p>
        </w:tc>
      </w:tr>
      <w:tr>
        <w:tc>
          <w:tcPr/>
          <w:p>
            <w:pPr>
              <w:pStyle w:val="Compact"/>
            </w:pPr>
            <w:r>
              <w:t xml:space="preserve">Revenue</w:t>
            </w:r>
          </w:p>
        </w:tc>
        <w:tc>
          <w:tcPr/>
          <w:p>
            <w:pPr>
              <w:pStyle w:val="Compact"/>
              <w:jc w:val="right"/>
            </w:pPr>
            <m:oMath>
              <m:r>
                <m:t>18.4</m:t>
              </m:r>
              <m:r>
                <m:t>B</m:t>
              </m:r>
              <m:r>
                <m:rPr>
                  <m:sty m:val="p"/>
                </m:rPr>
                <m:t>–</m:t>
              </m:r>
            </m:oMath>
            <w:r>
              <w:rPr>
                <w:b/>
                <w:bCs/>
              </w:rPr>
              <w:t xml:space="preserve">18.8B</w:t>
            </w:r>
          </w:p>
        </w:tc>
      </w:tr>
      <w:tr>
        <w:tc>
          <w:tcPr/>
          <w:p>
            <w:pPr>
              <w:pStyle w:val="Compact"/>
            </w:pPr>
            <w:r>
              <w:t xml:space="preserve">Adjusted EBITDA net of NCI</w:t>
            </w:r>
          </w:p>
        </w:tc>
        <w:tc>
          <w:tcPr/>
          <w:p>
            <w:pPr>
              <w:pStyle w:val="Compact"/>
              <w:jc w:val="right"/>
            </w:pPr>
            <m:oMath>
              <m:r>
                <m:t>2.64</m:t>
              </m:r>
              <m:r>
                <m:t>B</m:t>
              </m:r>
              <m:r>
                <m:rPr>
                  <m:sty m:val="p"/>
                </m:rPr>
                <m:t>–</m:t>
              </m:r>
            </m:oMath>
            <w:r>
              <w:rPr>
                <w:b/>
                <w:bCs/>
              </w:rPr>
              <w:t xml:space="preserve">2.79B</w:t>
            </w:r>
          </w:p>
        </w:tc>
      </w:tr>
      <w:tr>
        <w:tc>
          <w:tcPr/>
          <w:p>
            <w:pPr>
              <w:pStyle w:val="Compact"/>
            </w:pPr>
            <w:r>
              <w:t xml:space="preserve">Adjusted EPS</w:t>
            </w:r>
          </w:p>
        </w:tc>
        <w:tc>
          <w:tcPr/>
          <w:p>
            <w:pPr>
              <w:pStyle w:val="Compact"/>
              <w:jc w:val="right"/>
            </w:pPr>
            <m:oMath>
              <m:r>
                <m:t>22.64</m:t>
              </m:r>
              <m:r>
                <m:rPr>
                  <m:sty m:val="p"/>
                </m:rPr>
                <m:t>–</m:t>
              </m:r>
            </m:oMath>
            <w:r>
              <w:rPr>
                <w:b/>
                <w:bCs/>
              </w:rPr>
              <w:t xml:space="preserve">24.52</w:t>
            </w:r>
          </w:p>
        </w:tc>
      </w:tr>
      <w:tr>
        <w:tc>
          <w:tcPr/>
          <w:p>
            <w:pPr>
              <w:pStyle w:val="Compact"/>
            </w:pPr>
            <w:r>
              <w:t xml:space="preserve">Same-facility volume growth, acute and behavioral</w:t>
            </w:r>
          </w:p>
        </w:tc>
        <w:tc>
          <w:tcPr/>
          <w:p>
            <w:pPr>
              <w:pStyle w:val="Compact"/>
              <w:jc w:val="right"/>
            </w:pPr>
            <w:r>
              <w:rPr>
                <w:b/>
                <w:bCs/>
              </w:rPr>
              <w:t xml:space="preserve">2%–3%</w:t>
            </w:r>
          </w:p>
        </w:tc>
      </w:tr>
      <w:tr>
        <w:tc>
          <w:tcPr/>
          <w:p>
            <w:pPr>
              <w:pStyle w:val="Compact"/>
            </w:pPr>
            <w:r>
              <w:t xml:space="preserve">Capital expenditures</w:t>
            </w:r>
          </w:p>
        </w:tc>
        <w:tc>
          <w:tcPr/>
          <w:p>
            <w:pPr>
              <w:pStyle w:val="Compact"/>
              <w:jc w:val="right"/>
            </w:pPr>
            <m:oMath>
              <m:r>
                <m:t>950</m:t>
              </m:r>
              <m:r>
                <m:t>M</m:t>
              </m:r>
              <m:r>
                <m:rPr>
                  <m:sty m:val="p"/>
                </m:rPr>
                <m:t>–</m:t>
              </m:r>
            </m:oMath>
            <w:r>
              <w:rPr>
                <w:b/>
                <w:bCs/>
              </w:rPr>
              <w:t xml:space="preserve">1.10B</w:t>
            </w:r>
          </w:p>
        </w:tc>
      </w:tr>
    </w:tbl>
    <w:p>
      <w:pPr>
        <w:pStyle w:val="BodyText"/>
      </w:pPr>
      <w:r>
        <w:t xml:space="preserve">Management reiterated this outlook with 1Q results, but said it would reassess it with the 2Q release. That makes guidance the central catalyst, particularly because the initial plan excluded unapproved Florida supplemental payments.</w:t>
      </w:r>
    </w:p>
    <w:bookmarkEnd w:id="10"/>
    <w:bookmarkStart w:id="11" w:name="X6942dbc743057d82ab3b8d8ab991bcb5c372b3f"/>
    <w:p>
      <w:pPr>
        <w:pStyle w:val="Heading2"/>
      </w:pPr>
      <w:r>
        <w:t xml:space="preserve">1Q baseline: reported results were good; core-growth skepticism persisted</w:t>
      </w:r>
    </w:p>
    <w:p>
      <w:pPr>
        <w:pStyle w:val="FirstParagraph"/>
      </w:pPr>
      <w:r>
        <w:t xml:space="preserve">In 1Q26, UHS reported:</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1Q26 metric</w:t>
            </w:r>
          </w:p>
        </w:tc>
        <w:tc>
          <w:tcPr/>
          <w:p>
            <w:pPr>
              <w:pStyle w:val="Compact"/>
              <w:jc w:val="right"/>
            </w:pPr>
            <w:r>
              <w:t xml:space="preserve">Result</w:t>
            </w:r>
          </w:p>
        </w:tc>
        <w:tc>
          <w:tcPr/>
          <w:p>
            <w:pPr>
              <w:pStyle w:val="Compact"/>
              <w:jc w:val="right"/>
            </w:pPr>
            <w:r>
              <w:t xml:space="preserve">YoY change</w:t>
            </w:r>
          </w:p>
        </w:tc>
      </w:tr>
      <w:tr>
        <w:tc>
          <w:tcPr/>
          <w:p>
            <w:pPr>
              <w:pStyle w:val="Compact"/>
            </w:pPr>
            <w:r>
              <w:t xml:space="preserve">Revenue</w:t>
            </w:r>
          </w:p>
        </w:tc>
        <w:tc>
          <w:tcPr/>
          <w:p>
            <w:pPr>
              <w:pStyle w:val="Compact"/>
              <w:jc w:val="right"/>
            </w:pPr>
            <w:r>
              <w:rPr>
                <w:b/>
                <w:bCs/>
              </w:rPr>
              <w:t xml:space="preserve">$4.50B</w:t>
            </w:r>
          </w:p>
        </w:tc>
        <w:tc>
          <w:tcPr/>
          <w:p>
            <w:pPr>
              <w:pStyle w:val="Compact"/>
              <w:jc w:val="right"/>
            </w:pPr>
            <w:r>
              <w:rPr>
                <w:b/>
                <w:bCs/>
              </w:rPr>
              <w:t xml:space="preserve">+9.6%</w:t>
            </w:r>
          </w:p>
        </w:tc>
      </w:tr>
      <w:tr>
        <w:tc>
          <w:tcPr/>
          <w:p>
            <w:pPr>
              <w:pStyle w:val="Compact"/>
            </w:pPr>
            <w:r>
              <w:t xml:space="preserve">Adjusted EBITDA net of NCI</w:t>
            </w:r>
          </w:p>
        </w:tc>
        <w:tc>
          <w:tcPr/>
          <w:p>
            <w:pPr>
              <w:pStyle w:val="Compact"/>
              <w:jc w:val="right"/>
            </w:pPr>
            <w:r>
              <w:rPr>
                <w:b/>
                <w:bCs/>
              </w:rPr>
              <w:t xml:space="preserve">$648M</w:t>
            </w:r>
          </w:p>
        </w:tc>
        <w:tc>
          <w:tcPr/>
          <w:p>
            <w:pPr>
              <w:pStyle w:val="Compact"/>
              <w:jc w:val="right"/>
            </w:pPr>
            <w:r>
              <w:rPr>
                <w:b/>
                <w:bCs/>
              </w:rPr>
              <w:t xml:space="preserve">+8.4%</w:t>
            </w:r>
          </w:p>
        </w:tc>
      </w:tr>
      <w:tr>
        <w:tc>
          <w:tcPr/>
          <w:p>
            <w:pPr>
              <w:pStyle w:val="Compact"/>
            </w:pPr>
            <w:r>
              <w:t xml:space="preserve">Adjusted EPS</w:t>
            </w:r>
          </w:p>
        </w:tc>
        <w:tc>
          <w:tcPr/>
          <w:p>
            <w:pPr>
              <w:pStyle w:val="Compact"/>
              <w:jc w:val="right"/>
            </w:pPr>
            <w:r>
              <w:rPr>
                <w:b/>
                <w:bCs/>
              </w:rPr>
              <w:t xml:space="preserve">$5.62</w:t>
            </w:r>
          </w:p>
        </w:tc>
        <w:tc>
          <w:tcPr/>
          <w:p>
            <w:pPr>
              <w:pStyle w:val="Compact"/>
              <w:jc w:val="right"/>
            </w:pPr>
            <w:r>
              <w:rPr>
                <w:b/>
                <w:bCs/>
              </w:rPr>
              <w:t xml:space="preserve">+16.1%</w:t>
            </w:r>
          </w:p>
        </w:tc>
      </w:tr>
      <w:tr>
        <w:tc>
          <w:tcPr/>
          <w:p>
            <w:pPr>
              <w:pStyle w:val="Compact"/>
            </w:pPr>
            <w:r>
              <w:t xml:space="preserve">Operating cash flow</w:t>
            </w:r>
          </w:p>
        </w:tc>
        <w:tc>
          <w:tcPr/>
          <w:p>
            <w:pPr>
              <w:pStyle w:val="Compact"/>
              <w:jc w:val="right"/>
            </w:pPr>
            <w:r>
              <w:rPr>
                <w:b/>
                <w:bCs/>
              </w:rPr>
              <w:t xml:space="preserve">$402M</w:t>
            </w:r>
          </w:p>
        </w:tc>
        <w:tc>
          <w:tcPr/>
          <w:p>
            <w:pPr>
              <w:pStyle w:val="Compact"/>
              <w:jc w:val="right"/>
            </w:pPr>
            <w:r>
              <w:rPr>
                <w:b/>
                <w:bCs/>
              </w:rPr>
              <w:t xml:space="preserve">+11.5%</w:t>
            </w:r>
          </w:p>
        </w:tc>
      </w:tr>
    </w:tbl>
    <w:p>
      <w:pPr>
        <w:pStyle w:val="BodyText"/>
      </w:pPr>
      <w:r>
        <w:t xml:space="preserve">The operational detail was more mixed:</w:t>
      </w:r>
    </w:p>
    <w:p>
      <w:pPr>
        <w:pStyle w:val="Compact"/>
        <w:numPr>
          <w:ilvl w:val="0"/>
          <w:numId w:val="1002"/>
        </w:numPr>
      </w:pPr>
      <w:r>
        <w:rPr>
          <w:b/>
          <w:bCs/>
        </w:rPr>
        <w:t xml:space="preserve">Acute care:</w:t>
      </w:r>
      <w:r>
        <w:t xml:space="preserve"> </w:t>
      </w:r>
      <w:r>
        <w:t xml:space="preserve">Same-facility adjusted admissions were flat. Management attributed roughly 200 bps of volume pressure to a weaker flu/respiratory season and weather disruption. Same-facility acute revenue still rose 8.2%, driven by revenue per adjusted admission.</w:t>
      </w:r>
    </w:p>
    <w:p>
      <w:pPr>
        <w:pStyle w:val="Compact"/>
        <w:numPr>
          <w:ilvl w:val="0"/>
          <w:numId w:val="1002"/>
        </w:numPr>
      </w:pPr>
      <w:r>
        <w:rPr>
          <w:b/>
          <w:bCs/>
        </w:rPr>
        <w:t xml:space="preserve">Behavioral health:</w:t>
      </w:r>
      <w:r>
        <w:t xml:space="preserve"> </w:t>
      </w:r>
      <w:r>
        <w:t xml:space="preserve">Same-facility adjusted patient days grew 1.6%, closer to the bottom of the 2%–3% full-year target. Weather reduced behavioral volume growth by an estimated 40–50 bps.</w:t>
      </w:r>
    </w:p>
    <w:p>
      <w:pPr>
        <w:pStyle w:val="Compact"/>
        <w:numPr>
          <w:ilvl w:val="0"/>
          <w:numId w:val="1002"/>
        </w:numPr>
      </w:pPr>
      <w:r>
        <w:rPr>
          <w:b/>
          <w:bCs/>
        </w:rPr>
        <w:t xml:space="preserve">Margins:</w:t>
      </w:r>
      <w:r>
        <w:t xml:space="preserve"> </w:t>
      </w:r>
      <w:r>
        <w:t xml:space="preserve">Acute labor and supply costs remained disciplined. Behavioral labor expense per adjusted patient day rose roughly 6%, a moderation from the 7%–8% pace experienced during 2025.</w:t>
      </w:r>
    </w:p>
    <w:p>
      <w:pPr>
        <w:pStyle w:val="FirstParagraph"/>
      </w:pPr>
      <w:r>
        <w:t xml:space="preserve">The key investor concern was that 1Q contained substantial Medicaid supplemental-payment benefits while the “clean” core-growth trajectory appeared softer. Management acknowledged that core earnings growth would need to improve through the year to achieve its approximately 5% underlying-growth objective.</w:t>
      </w:r>
    </w:p>
    <w:bookmarkEnd w:id="11"/>
    <w:bookmarkStart w:id="13" w:name="X8c0c9393fc750bd28c022b4df48a71a294a6a9f"/>
    <w:p>
      <w:pPr>
        <w:pStyle w:val="Heading2"/>
      </w:pPr>
      <w:r>
        <w:t xml:space="preserve">The central 2Q swing factor: Florida supplemental payments</w:t>
      </w:r>
    </w:p>
    <w:p>
      <w:pPr>
        <w:pStyle w:val="FirstParagraph"/>
      </w:pPr>
      <w:r>
        <w:t xml:space="preserve">The expected</w:t>
      </w:r>
      <w:r>
        <w:t xml:space="preserve"> </w:t>
      </w:r>
      <w:r>
        <w:rPr>
          <w:b/>
          <w:bCs/>
        </w:rPr>
        <w:t xml:space="preserve">~$100 million retroactive Florida 2025 program benefit</w:t>
      </w:r>
      <w:r>
        <w:t xml:space="preserve"> </w:t>
      </w:r>
      <w:r>
        <w:t xml:space="preserve">is the most important reported-results item in the quarter. It was not included in the original 2026 outlook, and it should materially improve 2Q earnings.</w:t>
      </w:r>
    </w:p>
    <w:p>
      <w:pPr>
        <w:pStyle w:val="BodyText"/>
      </w:pPr>
      <w:r>
        <w:t xml:space="preserve">However, investors should separate two distinct issues:</w:t>
      </w:r>
    </w:p>
    <w:p>
      <w:pPr>
        <w:pStyle w:val="Compact"/>
        <w:numPr>
          <w:ilvl w:val="0"/>
          <w:numId w:val="1003"/>
        </w:numPr>
      </w:pPr>
      <w:r>
        <w:rPr>
          <w:b/>
          <w:bCs/>
        </w:rPr>
        <w:t xml:space="preserve">2025 retroactive Florida approval:</w:t>
      </w:r>
      <w:r>
        <w:t xml:space="preserve"> </w:t>
      </w:r>
      <w:r>
        <w:t xml:space="preserve">A known 2Q reported earnings benefit of approximately $100 million.</w:t>
      </w:r>
    </w:p>
    <w:p>
      <w:pPr>
        <w:pStyle w:val="Compact"/>
        <w:numPr>
          <w:ilvl w:val="0"/>
          <w:numId w:val="1003"/>
        </w:numPr>
      </w:pPr>
      <w:r>
        <w:rPr>
          <w:b/>
          <w:bCs/>
        </w:rPr>
        <w:t xml:space="preserve">2026 Florida program:</w:t>
      </w:r>
      <w:r>
        <w:t xml:space="preserve"> </w:t>
      </w:r>
      <w:r>
        <w:t xml:space="preserve">Still pending as of UHS’s June conference appearance. Management has indicated that Florida expects approval, but UHS did not quantify the amount or timing because it lacked final program detail.</w:t>
      </w:r>
    </w:p>
    <w:bookmarkStart w:id="12" w:name="what-to-listen-for"/>
    <w:p>
      <w:pPr>
        <w:pStyle w:val="Heading3"/>
      </w:pPr>
      <w:r>
        <w:t xml:space="preserve">What to listen for</w:t>
      </w:r>
    </w:p>
    <w:p>
      <w:pPr>
        <w:pStyle w:val="Compact"/>
        <w:numPr>
          <w:ilvl w:val="0"/>
          <w:numId w:val="1004"/>
        </w:numPr>
      </w:pPr>
      <w:r>
        <w:t xml:space="preserve">Whether the $100 million is reflected in reported EBITDA, adjusted EBITDA, or categorized in a way that investors should normalize.</w:t>
      </w:r>
    </w:p>
    <w:p>
      <w:pPr>
        <w:pStyle w:val="Compact"/>
        <w:numPr>
          <w:ilvl w:val="0"/>
          <w:numId w:val="1004"/>
        </w:numPr>
      </w:pPr>
      <w:r>
        <w:t xml:space="preserve">Whether UHS raises full-year guidance by all or part of the retroactive benefit.</w:t>
      </w:r>
    </w:p>
    <w:p>
      <w:pPr>
        <w:pStyle w:val="Compact"/>
        <w:numPr>
          <w:ilvl w:val="0"/>
          <w:numId w:val="1004"/>
        </w:numPr>
      </w:pPr>
      <w:r>
        <w:t xml:space="preserve">Any first estimate for the 2026 Florida program.</w:t>
      </w:r>
    </w:p>
    <w:p>
      <w:pPr>
        <w:pStyle w:val="Compact"/>
        <w:numPr>
          <w:ilvl w:val="0"/>
          <w:numId w:val="1004"/>
        </w:numPr>
      </w:pPr>
      <w:r>
        <w:t xml:space="preserve">Management’s updated outlook for the broader Medicaid supplemental-payment base as reductions begin in 2028.</w:t>
      </w:r>
    </w:p>
    <w:p>
      <w:pPr>
        <w:pStyle w:val="FirstParagraph"/>
      </w:pPr>
      <w:r>
        <w:t xml:space="preserve">A guidance increase that simply captures the Florida retroactive payment would be positive but not necessarily evidence of better core operations. A raise</w:t>
      </w:r>
      <w:r>
        <w:t xml:space="preserve"> </w:t>
      </w:r>
      <w:r>
        <w:rPr>
          <w:b/>
          <w:bCs/>
        </w:rPr>
        <w:t xml:space="preserve">plus</w:t>
      </w:r>
      <w:r>
        <w:t xml:space="preserve"> </w:t>
      </w:r>
      <w:r>
        <w:t xml:space="preserve">improved volume or margin commentary would be a stronger signal.</w:t>
      </w:r>
    </w:p>
    <w:bookmarkEnd w:id="12"/>
    <w:bookmarkEnd w:id="13"/>
    <w:bookmarkStart w:id="16" w:name="X960f4a503ec2f67f0dac1488644f7f8358bbc0e"/>
    <w:p>
      <w:pPr>
        <w:pStyle w:val="Heading2"/>
      </w:pPr>
      <w:r>
        <w:t xml:space="preserve">Volumes: 2Q needs to show the expected normalization</w:t>
      </w:r>
    </w:p>
    <w:p>
      <w:pPr>
        <w:pStyle w:val="FirstParagraph"/>
      </w:pPr>
      <w:r>
        <w:t xml:space="preserve">Management entered the year expecting 2%–3% same-facility volume growth in both major segments. The first quarter was knowingly below that target because of seasonality, weather, and flu comparisons. By March, management said volumes had returned to a more normal growth cadence, so 2Q is the first cleaner test of the full-year thesis.</w:t>
      </w:r>
    </w:p>
    <w:bookmarkStart w:id="14" w:name="Xdb68f16c4aa2bc31f6195f13078131f3bb429cb"/>
    <w:p>
      <w:pPr>
        <w:pStyle w:val="Heading3"/>
      </w:pPr>
      <w:r>
        <w:t xml:space="preserve">Acute care: capacity should help, but start-up losses matter</w:t>
      </w:r>
    </w:p>
    <w:p>
      <w:pPr>
        <w:pStyle w:val="FirstParagraph"/>
      </w:pPr>
      <w:r>
        <w:t xml:space="preserve">UHS added meaningful acute capacity during 2Q:</w:t>
      </w:r>
    </w:p>
    <w:p>
      <w:pPr>
        <w:pStyle w:val="Compact"/>
        <w:numPr>
          <w:ilvl w:val="0"/>
          <w:numId w:val="1005"/>
        </w:numPr>
      </w:pPr>
      <w:r>
        <w:t xml:space="preserve">A</w:t>
      </w:r>
      <w:r>
        <w:t xml:space="preserve"> </w:t>
      </w:r>
      <w:r>
        <w:rPr>
          <w:b/>
          <w:bCs/>
        </w:rPr>
        <w:t xml:space="preserve">156-bed de novo hospital in Palm Beach Gardens, Florida</w:t>
      </w:r>
      <w:r>
        <w:t xml:space="preserve">, opened in May.</w:t>
      </w:r>
    </w:p>
    <w:p>
      <w:pPr>
        <w:pStyle w:val="Compact"/>
        <w:numPr>
          <w:ilvl w:val="0"/>
          <w:numId w:val="1005"/>
        </w:numPr>
      </w:pPr>
      <w:r>
        <w:t xml:space="preserve">Three existing-market projects totaling</w:t>
      </w:r>
      <w:r>
        <w:t xml:space="preserve"> </w:t>
      </w:r>
      <w:r>
        <w:rPr>
          <w:b/>
          <w:bCs/>
        </w:rPr>
        <w:t xml:space="preserve">178 beds</w:t>
      </w:r>
      <w:r>
        <w:t xml:space="preserve"> </w:t>
      </w:r>
      <w:r>
        <w:t xml:space="preserve">came online: a tower in west-coast Florida, added capacity in Henderson/Las Vegas, and a replacement facility with incremental beds in Riverside County, California.</w:t>
      </w:r>
    </w:p>
    <w:p>
      <w:pPr>
        <w:pStyle w:val="FirstParagraph"/>
      </w:pPr>
      <w:r>
        <w:t xml:space="preserve">The existing-market expansions should ramp faster because they build on established referral networks. By contrast, Palm Beach Gardens will be a near-term profitability drag; management has characterized the first year of a new hospital as a ramp period and expects the facility to approach divisional performance more gradually.</w:t>
      </w:r>
    </w:p>
    <w:p>
      <w:pPr>
        <w:pStyle w:val="BodyText"/>
      </w:pPr>
      <w:r>
        <w:t xml:space="preserve">Also important is</w:t>
      </w:r>
      <w:r>
        <w:t xml:space="preserve"> </w:t>
      </w:r>
      <w:r>
        <w:rPr>
          <w:b/>
          <w:bCs/>
        </w:rPr>
        <w:t xml:space="preserve">Cedar Hill in Washington, D.C.</w:t>
      </w:r>
      <w:r>
        <w:t xml:space="preserve"> </w:t>
      </w:r>
      <w:r>
        <w:t xml:space="preserve">UHS expects improvement there to be weighted toward the second half of 2026. Investors should look for evidence that the facility’s volume and earnings ramp is beginning to improve, even if the larger contribution remains a 2H event.</w:t>
      </w:r>
    </w:p>
    <w:bookmarkEnd w:id="14"/>
    <w:bookmarkStart w:id="15" w:name="X4f7e5b228fc90200a8a5f973b2675df0eaa9e32"/>
    <w:p>
      <w:pPr>
        <w:pStyle w:val="Heading3"/>
      </w:pPr>
      <w:r>
        <w:t xml:space="preserve">Behavioral health: labor investments should convert into volume and outpatient growth</w:t>
      </w:r>
    </w:p>
    <w:p>
      <w:pPr>
        <w:pStyle w:val="FirstParagraph"/>
      </w:pPr>
      <w:r>
        <w:t xml:space="preserve">Behavioral is strategically important because UHS is attempting to shift from an inpatient-centric model to a broader continuum of outpatient, step-down, and virtual care.</w:t>
      </w:r>
    </w:p>
    <w:p>
      <w:pPr>
        <w:pStyle w:val="BodyText"/>
      </w:pPr>
      <w:r>
        <w:t xml:space="preserve">The bullish setup is straightforward:</w:t>
      </w:r>
    </w:p>
    <w:p>
      <w:pPr>
        <w:pStyle w:val="Compact"/>
        <w:numPr>
          <w:ilvl w:val="0"/>
          <w:numId w:val="1006"/>
        </w:numPr>
      </w:pPr>
      <w:r>
        <w:t xml:space="preserve">UHS invested heavily in behavioral staffing during 2025 to relieve capacity constraints.</w:t>
      </w:r>
    </w:p>
    <w:p>
      <w:pPr>
        <w:pStyle w:val="Compact"/>
        <w:numPr>
          <w:ilvl w:val="0"/>
          <w:numId w:val="1006"/>
        </w:numPr>
      </w:pPr>
      <w:r>
        <w:t xml:space="preserve">It expects less hiring intensity and moderating wage growth in 2026.</w:t>
      </w:r>
    </w:p>
    <w:p>
      <w:pPr>
        <w:pStyle w:val="Compact"/>
        <w:numPr>
          <w:ilvl w:val="0"/>
          <w:numId w:val="1006"/>
        </w:numPr>
      </w:pPr>
      <w:r>
        <w:t xml:space="preserve">Outpatient care generally carries higher margins than inpatient behavioral care.</w:t>
      </w:r>
    </w:p>
    <w:p>
      <w:pPr>
        <w:pStyle w:val="Compact"/>
        <w:numPr>
          <w:ilvl w:val="0"/>
          <w:numId w:val="1006"/>
        </w:numPr>
      </w:pPr>
      <w:r>
        <w:t xml:space="preserve">Management sees increasing demand moving to outpatient settings.</w:t>
      </w:r>
    </w:p>
    <w:p>
      <w:pPr>
        <w:pStyle w:val="FirstParagraph"/>
      </w:pPr>
      <w:r>
        <w:t xml:space="preserve">The needed proof point is sustained patient-day growth above the 1.6% recorded in 1Q, along with labor-cost moderation. California’s new inpatient psychiatric staffing rules took effect on</w:t>
      </w:r>
      <w:r>
        <w:t xml:space="preserve"> </w:t>
      </w:r>
      <w:r>
        <w:rPr>
          <w:b/>
          <w:bCs/>
        </w:rPr>
        <w:t xml:space="preserve">June 1, 2026</w:t>
      </w:r>
      <w:r>
        <w:t xml:space="preserve">, creating a planned</w:t>
      </w:r>
      <w:r>
        <w:t xml:space="preserve"> </w:t>
      </w:r>
      <w:r>
        <w:rPr>
          <w:b/>
          <w:bCs/>
        </w:rPr>
        <w:t xml:space="preserve">$35 million pretax</w:t>
      </w:r>
      <w:r>
        <w:t xml:space="preserve"> </w:t>
      </w:r>
      <w:r>
        <w:t xml:space="preserve">headwind for 2026; 2Q will contain the initial costs and any census disruption associated with implementation.</w:t>
      </w:r>
    </w:p>
    <w:bookmarkEnd w:id="15"/>
    <w:bookmarkEnd w:id="16"/>
    <w:bookmarkStart w:id="17" w:name="Xd64114609c17a4e599fc5e1b392dccb7fe2cac6"/>
    <w:p>
      <w:pPr>
        <w:pStyle w:val="Heading2"/>
      </w:pPr>
      <w:r>
        <w:t xml:space="preserve">Exchange coverage and bad debt: an important downside watch</w:t>
      </w:r>
    </w:p>
    <w:p>
      <w:pPr>
        <w:pStyle w:val="FirstParagraph"/>
      </w:pPr>
      <w:r>
        <w:t xml:space="preserve">UHS’s 2026 outlook incorporates an estimated</w:t>
      </w:r>
      <w:r>
        <w:t xml:space="preserve"> </w:t>
      </w:r>
      <w:r>
        <w:rPr>
          <w:b/>
          <w:bCs/>
        </w:rPr>
        <w:t xml:space="preserve">$75 million pretax headwind</w:t>
      </w:r>
      <w:r>
        <w:t xml:space="preserve"> </w:t>
      </w:r>
      <w:r>
        <w:t xml:space="preserve">from lower health-insurance-exchange coverage. The company expects many patients losing subsidized coverage to continue using the ER, but with a greater portion of care becoming self-pay or uninsured—making this primarily a</w:t>
      </w:r>
      <w:r>
        <w:t xml:space="preserve"> </w:t>
      </w:r>
      <w:r>
        <w:rPr>
          <w:b/>
          <w:bCs/>
        </w:rPr>
        <w:t xml:space="preserve">collectibility and bad-debt</w:t>
      </w:r>
      <w:r>
        <w:t xml:space="preserve"> </w:t>
      </w:r>
      <w:r>
        <w:t xml:space="preserve">issue rather than a volume issue.</w:t>
      </w:r>
    </w:p>
    <w:p>
      <w:pPr>
        <w:pStyle w:val="BodyText"/>
      </w:pPr>
      <w:r>
        <w:t xml:space="preserve">In 1Q:</w:t>
      </w:r>
    </w:p>
    <w:p>
      <w:pPr>
        <w:pStyle w:val="Compact"/>
        <w:numPr>
          <w:ilvl w:val="0"/>
          <w:numId w:val="1007"/>
        </w:numPr>
      </w:pPr>
      <w:r>
        <w:t xml:space="preserve">Exchange adjusted admissions declined about 5%.</w:t>
      </w:r>
    </w:p>
    <w:p>
      <w:pPr>
        <w:pStyle w:val="Compact"/>
        <w:numPr>
          <w:ilvl w:val="0"/>
          <w:numId w:val="1007"/>
        </w:numPr>
      </w:pPr>
      <w:r>
        <w:t xml:space="preserve">UHS reserved more conservatively because some patients presenting with exchange coverage may later be deemed uninsured if premiums are not paid.</w:t>
      </w:r>
    </w:p>
    <w:p>
      <w:pPr>
        <w:pStyle w:val="Compact"/>
        <w:numPr>
          <w:ilvl w:val="0"/>
          <w:numId w:val="1007"/>
        </w:numPr>
      </w:pPr>
      <w:r>
        <w:t xml:space="preserve">Management estimated the effective decline in exchange coverage embedded in its accounting was in the low-double-digits, versus an assumed 25%–30% full-year decline.</w:t>
      </w:r>
    </w:p>
    <w:p>
      <w:pPr>
        <w:pStyle w:val="FirstParagraph"/>
      </w:pPr>
      <w:r>
        <w:t xml:space="preserve">By June, management said its assumptions still appeared reasonable, but it needed more time to assess the loss of coverage and the recovery rate on claims. The 2Q release should offer a much clearer read on whether the $75 million reserve is sufficient.</w:t>
      </w:r>
    </w:p>
    <w:bookmarkEnd w:id="17"/>
    <w:bookmarkStart w:id="18" w:name="Xcfa2b6fd00481ed7b025da0acb91ef38ac11215"/>
    <w:p>
      <w:pPr>
        <w:pStyle w:val="Heading2"/>
      </w:pPr>
      <w:r>
        <w:t xml:space="preserve">Talkspace: a strategic catalyst, but likely not a 2Q earnings contributor</w:t>
      </w:r>
    </w:p>
    <w:p>
      <w:pPr>
        <w:pStyle w:val="FirstParagraph"/>
      </w:pPr>
      <w:r>
        <w:t xml:space="preserve">UHS expects to close the Talkspace acquisition in</w:t>
      </w:r>
      <w:r>
        <w:t xml:space="preserve"> </w:t>
      </w:r>
      <w:r>
        <w:rPr>
          <w:b/>
          <w:bCs/>
        </w:rPr>
        <w:t xml:space="preserve">early 3Q26</w:t>
      </w:r>
      <w:r>
        <w:t xml:space="preserve">. The deal is intended to provide a national virtual behavioral-health platform and a network of approximately 6,000 clinicians, complementing UHS’s inpatient facilities, outpatient clinics, and “1,000 Branches” initiative.</w:t>
      </w:r>
    </w:p>
    <w:p>
      <w:pPr>
        <w:pStyle w:val="BodyText"/>
      </w:pPr>
      <w:r>
        <w:t xml:space="preserve">Management’s financial claims are ambitious:</w:t>
      </w:r>
    </w:p>
    <w:p>
      <w:pPr>
        <w:pStyle w:val="Compact"/>
        <w:numPr>
          <w:ilvl w:val="0"/>
          <w:numId w:val="1008"/>
        </w:numPr>
      </w:pPr>
      <w:r>
        <w:t xml:space="preserve">Accretive within the first 12 months after closing.</w:t>
      </w:r>
    </w:p>
    <w:p>
      <w:pPr>
        <w:pStyle w:val="Compact"/>
        <w:numPr>
          <w:ilvl w:val="0"/>
          <w:numId w:val="1008"/>
        </w:numPr>
      </w:pPr>
      <w:r>
        <w:t xml:space="preserve">Increasingly accretive thereafter.</w:t>
      </w:r>
    </w:p>
    <w:p>
      <w:pPr>
        <w:pStyle w:val="Compact"/>
        <w:numPr>
          <w:ilvl w:val="0"/>
          <w:numId w:val="1008"/>
        </w:numPr>
      </w:pPr>
      <w:r>
        <w:t xml:space="preserve">Effective EBITDA purchase multiple in the single digits by year three, assuming anticipated growth and synergies.</w:t>
      </w:r>
    </w:p>
    <w:p>
      <w:pPr>
        <w:pStyle w:val="FirstParagraph"/>
      </w:pPr>
      <w:r>
        <w:t xml:space="preserve">For this quarter, the focus should be on</w:t>
      </w:r>
      <w:r>
        <w:t xml:space="preserve"> </w:t>
      </w:r>
      <w:r>
        <w:rPr>
          <w:b/>
          <w:bCs/>
        </w:rPr>
        <w:t xml:space="preserve">closing timing, financing, and integration milestones</w:t>
      </w:r>
      <w:r>
        <w:t xml:space="preserve">, rather than earnings contribution. UHS established a $400 million delayed-draw term loan specifically to fund the transaction. More recently, it also added a separate $700 million delayed-draw term loan available through September 30 for general corporate purposes, including refinancing debt and related fees; that facility does not explicitly designate Talkspace as its use.</w:t>
      </w:r>
    </w:p>
    <w:bookmarkEnd w:id="18"/>
    <w:bookmarkStart w:id="19" w:name="capital-allocation-remains-a-support"/>
    <w:p>
      <w:pPr>
        <w:pStyle w:val="Heading2"/>
      </w:pPr>
      <w:r>
        <w:t xml:space="preserve">Capital allocation remains a support</w:t>
      </w:r>
    </w:p>
    <w:p>
      <w:pPr>
        <w:pStyle w:val="FirstParagraph"/>
      </w:pPr>
      <w:r>
        <w:t xml:space="preserve">Despite the acquisition and elevated capital spending, UHS has remained committed to buybacks. It repurchased</w:t>
      </w:r>
      <w:r>
        <w:t xml:space="preserve"> </w:t>
      </w:r>
      <w:r>
        <w:rPr>
          <w:b/>
          <w:bCs/>
        </w:rPr>
        <w:t xml:space="preserve">675,000 shares for</w:t>
      </w:r>
      <w:r>
        <w:rPr>
          <w:b/>
          <w:bCs/>
        </w:rPr>
        <w:t xml:space="preserve"> </w:t>
      </w:r>
      <m:oMath>
        <m:r>
          <m:t>127</m:t>
        </m:r>
        <m:r>
          <m:t>m</m:t>
        </m:r>
        <m:r>
          <m:t>i</m:t>
        </m:r>
        <m:r>
          <m:t>l</m:t>
        </m:r>
        <m:r>
          <m:t>l</m:t>
        </m:r>
        <m:r>
          <m:t>i</m:t>
        </m:r>
        <m:r>
          <m:t>o</m:t>
        </m:r>
        <m:r>
          <m:t>n</m:t>
        </m:r>
        <m:r>
          <m:rPr>
            <m:sty m:val="p"/>
          </m:rPr>
          <m:t>*</m:t>
        </m:r>
        <m:r>
          <m:rPr>
            <m:sty m:val="p"/>
          </m:rPr>
          <m:t>*</m:t>
        </m:r>
        <m:r>
          <m:t>i</m:t>
        </m:r>
        <m:r>
          <m:t>n</m:t>
        </m:r>
        <m:r>
          <m:t>1</m:t>
        </m:r>
        <m:r>
          <m:t>Q</m:t>
        </m:r>
        <m:r>
          <m:t>a</m:t>
        </m:r>
        <m:r>
          <m:t>n</m:t>
        </m:r>
        <m:r>
          <m:t>d</m:t>
        </m:r>
        <m:r>
          <m:t>h</m:t>
        </m:r>
        <m:r>
          <m:t>a</m:t>
        </m:r>
        <m:r>
          <m:t>d</m:t>
        </m:r>
        <m:r>
          <m:t>a</m:t>
        </m:r>
        <m:r>
          <m:t>p</m:t>
        </m:r>
        <m:r>
          <m:t>p</m:t>
        </m:r>
        <m:r>
          <m:t>r</m:t>
        </m:r>
        <m:r>
          <m:t>o</m:t>
        </m:r>
        <m:r>
          <m:t>x</m:t>
        </m:r>
        <m:r>
          <m:t>i</m:t>
        </m:r>
        <m:r>
          <m:t>m</m:t>
        </m:r>
        <m:r>
          <m:t>a</m:t>
        </m:r>
        <m:r>
          <m:t>t</m:t>
        </m:r>
        <m:r>
          <m:t>e</m:t>
        </m:r>
        <m:r>
          <m:t>l</m:t>
        </m:r>
        <m:r>
          <m:t>y</m:t>
        </m:r>
        <m:r>
          <m:rPr>
            <m:sty m:val="p"/>
          </m:rPr>
          <m:t>*</m:t>
        </m:r>
        <m:r>
          <m:rPr>
            <m:sty m:val="p"/>
          </m:rPr>
          <m:t>*</m:t>
        </m:r>
      </m:oMath>
      <w:r>
        <w:rPr>
          <w:b/>
          <w:bCs/>
        </w:rPr>
        <w:t xml:space="preserve">1.30 billion</w:t>
      </w:r>
      <w:r>
        <w:t xml:space="preserve"> </w:t>
      </w:r>
      <w:r>
        <w:t xml:space="preserve">remaining under its authorization at quarter-end.</w:t>
      </w:r>
    </w:p>
    <w:p>
      <w:pPr>
        <w:pStyle w:val="BodyText"/>
      </w:pPr>
      <w:r>
        <w:t xml:space="preserve">Management has said it expects leverage to remain in the low-2x range following Talkspace—within its longstanding 2x–3x preferred range—and views the share price as compelling. This supports continued repurchases alongside outpatient investment and selective M&amp;A.</w:t>
      </w:r>
    </w:p>
    <w:p>
      <w:pPr>
        <w:pStyle w:val="BodyText"/>
      </w:pPr>
      <w:r>
        <w:t xml:space="preserve">That said, investors should monitor free-cash-flow conversion because 2026 capex remains elevated, the new Florida hospital is in start-up mode, and acquisition financing will increase interest expense.</w:t>
      </w:r>
    </w:p>
    <w:bookmarkEnd w:id="19"/>
    <w:bookmarkStart w:id="20" w:name="stock-setup"/>
    <w:p>
      <w:pPr>
        <w:pStyle w:val="Heading2"/>
      </w:pPr>
      <w:r>
        <w:t xml:space="preserve">Stock setup</w:t>
      </w:r>
    </w:p>
    <w:p>
      <w:pPr>
        <w:pStyle w:val="FirstParagraph"/>
      </w:pPr>
      <w:r>
        <w:t xml:space="preserve">UHS closed at</w:t>
      </w:r>
      <w:r>
        <w:t xml:space="preserve"> </w:t>
      </w:r>
      <w:r>
        <w:rPr>
          <w:b/>
          <w:bCs/>
        </w:rPr>
        <w:t xml:space="preserve">$155.78 on Friday, July 24</w:t>
      </w:r>
      <w:r>
        <w:t xml:space="preserve">, down approximately</w:t>
      </w:r>
      <w:r>
        <w:t xml:space="preserve"> </w:t>
      </w:r>
      <w:r>
        <w:rPr>
          <w:b/>
          <w:bCs/>
        </w:rPr>
        <w:t xml:space="preserve">28.5%</w:t>
      </w:r>
      <w:r>
        <w:t xml:space="preserve"> </w:t>
      </w:r>
      <w:r>
        <w:t xml:space="preserve">from its December 31, 2025 close of $218.02. The shares also fell roughly 4.2% on April 28, when UHS reported 1Q results. The setup therefore appears skeptical: the market is discounting uncertainty around policy exposure, normalized core earnings growth, and the durability of supplemental Medicaid payments.</w:t>
      </w:r>
    </w:p>
    <w:p>
      <w:pPr>
        <w:pStyle w:val="BodyText"/>
      </w:pPr>
      <w:r>
        <w:t xml:space="preserve">This creates a favorable asymmetry if UHS can demonstrate that:</w:t>
      </w:r>
    </w:p>
    <w:p>
      <w:pPr>
        <w:pStyle w:val="Compact"/>
        <w:numPr>
          <w:ilvl w:val="0"/>
          <w:numId w:val="1009"/>
        </w:numPr>
      </w:pPr>
      <w:r>
        <w:t xml:space="preserve">2Q volumes normalized,</w:t>
      </w:r>
    </w:p>
    <w:p>
      <w:pPr>
        <w:pStyle w:val="Compact"/>
        <w:numPr>
          <w:ilvl w:val="0"/>
          <w:numId w:val="1009"/>
        </w:numPr>
      </w:pPr>
      <w:r>
        <w:t xml:space="preserve">exchange pressure remains contained,</w:t>
      </w:r>
    </w:p>
    <w:p>
      <w:pPr>
        <w:pStyle w:val="Compact"/>
        <w:numPr>
          <w:ilvl w:val="0"/>
          <w:numId w:val="1009"/>
        </w:numPr>
      </w:pPr>
      <w:r>
        <w:t xml:space="preserve">the Florida benefit results in a meaningful guidance increase, and</w:t>
      </w:r>
    </w:p>
    <w:p>
      <w:pPr>
        <w:pStyle w:val="Compact"/>
        <w:numPr>
          <w:ilvl w:val="0"/>
          <w:numId w:val="1009"/>
        </w:numPr>
      </w:pPr>
      <w:r>
        <w:t xml:space="preserve">second-half capacity and behavioral initiatives can support core earnings growth.</w:t>
      </w:r>
    </w:p>
    <w:p>
      <w:pPr>
        <w:pStyle w:val="FirstParagraph"/>
      </w:pPr>
      <w:r>
        <w:t xml:space="preserve">Conversely, a headline beat driven primarily by the Florida retroactive payment—without evidence of better underlying volumes, margins, or 2H earnings power—may not be enough to change the narrative.</w:t>
      </w:r>
    </w:p>
    <w:bookmarkEnd w:id="20"/>
    <w:bookmarkStart w:id="21" w:name="key-questions-for-management"/>
    <w:p>
      <w:pPr>
        <w:pStyle w:val="Heading2"/>
      </w:pPr>
      <w:r>
        <w:t xml:space="preserve">Key questions for management</w:t>
      </w:r>
    </w:p>
    <w:p>
      <w:pPr>
        <w:pStyle w:val="Compact"/>
        <w:numPr>
          <w:ilvl w:val="0"/>
          <w:numId w:val="1010"/>
        </w:numPr>
      </w:pPr>
      <w:r>
        <w:rPr>
          <w:b/>
          <w:bCs/>
        </w:rPr>
        <w:t xml:space="preserve">What were same-facility acute admissions and behavioral adjusted patient-day growth in 2Q?</w:t>
      </w:r>
      <w:r>
        <w:t xml:space="preserve"> </w:t>
      </w:r>
      <w:r>
        <w:t xml:space="preserve">How did June exit rates compare with the 2%–3% full-year target?</w:t>
      </w:r>
    </w:p>
    <w:p>
      <w:pPr>
        <w:pStyle w:val="Compact"/>
        <w:numPr>
          <w:ilvl w:val="0"/>
          <w:numId w:val="1010"/>
        </w:numPr>
      </w:pPr>
      <w:r>
        <w:rPr>
          <w:b/>
          <w:bCs/>
        </w:rPr>
        <w:t xml:space="preserve">How much of the approximately $100 million Florida 2025 retroactive benefit is in 2Q EBITDA and EPS?</w:t>
      </w:r>
      <w:r>
        <w:t xml:space="preserve"> </w:t>
      </w:r>
      <w:r>
        <w:t xml:space="preserve">How much is being incorporated into full-year guidance?</w:t>
      </w:r>
    </w:p>
    <w:p>
      <w:pPr>
        <w:pStyle w:val="Compact"/>
        <w:numPr>
          <w:ilvl w:val="0"/>
          <w:numId w:val="1010"/>
        </w:numPr>
      </w:pPr>
      <w:r>
        <w:rPr>
          <w:b/>
          <w:bCs/>
        </w:rPr>
        <w:t xml:space="preserve">What is the latest status and expected magnitude of the Florida 2026 supplemental-payment program?</w:t>
      </w:r>
    </w:p>
    <w:p>
      <w:pPr>
        <w:pStyle w:val="Compact"/>
        <w:numPr>
          <w:ilvl w:val="0"/>
          <w:numId w:val="1010"/>
        </w:numPr>
      </w:pPr>
      <w:r>
        <w:rPr>
          <w:b/>
          <w:bCs/>
        </w:rPr>
        <w:t xml:space="preserve">Are exchange-related bad debt and uncompensated-care trends tracking within the $75 million pretax assumption?</w:t>
      </w:r>
    </w:p>
    <w:p>
      <w:pPr>
        <w:pStyle w:val="Compact"/>
        <w:numPr>
          <w:ilvl w:val="0"/>
          <w:numId w:val="1010"/>
        </w:numPr>
      </w:pPr>
      <w:r>
        <w:rPr>
          <w:b/>
          <w:bCs/>
        </w:rPr>
        <w:t xml:space="preserve">What has been the initial financial and operational impact of California’s June 1 behavioral staffing rule?</w:t>
      </w:r>
    </w:p>
    <w:p>
      <w:pPr>
        <w:pStyle w:val="Compact"/>
        <w:numPr>
          <w:ilvl w:val="0"/>
          <w:numId w:val="1010"/>
        </w:numPr>
      </w:pPr>
      <w:r>
        <w:rPr>
          <w:b/>
          <w:bCs/>
        </w:rPr>
        <w:t xml:space="preserve">How quickly are Palm Beach Gardens, the 178-bed acute expansions, and Cedar Hill ramping?</w:t>
      </w:r>
    </w:p>
    <w:p>
      <w:pPr>
        <w:pStyle w:val="Compact"/>
        <w:numPr>
          <w:ilvl w:val="0"/>
          <w:numId w:val="1010"/>
        </w:numPr>
      </w:pPr>
      <w:r>
        <w:rPr>
          <w:b/>
          <w:bCs/>
        </w:rPr>
        <w:t xml:space="preserve">Has the Talkspace closing timetable changed, and what should investors expect for leverage, financing costs, and 2026 accretion?</w:t>
      </w:r>
    </w:p>
    <w:p>
      <w:pPr>
        <w:pStyle w:val="Compact"/>
        <w:numPr>
          <w:ilvl w:val="0"/>
          <w:numId w:val="1010"/>
        </w:numPr>
      </w:pPr>
      <w:r>
        <w:rPr>
          <w:b/>
          <w:bCs/>
        </w:rPr>
        <w:t xml:space="preserve">Does UHS still expect behavioral labor-cost growth to moderate and outpatient growth to drive segment margin expansion?</w:t>
      </w:r>
    </w:p>
    <w:bookmarkEnd w:id="21"/>
    <w:bookmarkStart w:id="23" w:name="bottom-line"/>
    <w:p>
      <w:pPr>
        <w:pStyle w:val="Heading2"/>
      </w:pPr>
      <w:r>
        <w:t xml:space="preserve">Bottom line</w:t>
      </w:r>
    </w:p>
    <w:p>
      <w:pPr>
        <w:pStyle w:val="FirstParagraph"/>
      </w:pPr>
      <w:r>
        <w:rPr>
          <w:b/>
          <w:bCs/>
        </w:rPr>
        <w:t xml:space="preserve">Reported 2Q earnings should benefit materially from Florida supplemental payments, but the investment case hinges on underlying momentum.</w:t>
      </w:r>
      <w:r>
        <w:t xml:space="preserve"> </w:t>
      </w:r>
      <w:r>
        <w:t xml:space="preserve">A constructive report would pair the discrete Florida benefit with normalized volume growth, stable exchange-related bad debt, improving behavioral labor productivity, and a more confident second-half outlook. A less constructive outcome would show that the reported beat is mostly nonrecurring, while core growth, payer mix, and new-facility ramp remain uneven.</w:t>
      </w:r>
    </w:p>
    <w:bookmarkStart w:id="22" w:name="sources-reviewed"/>
    <w:p>
      <w:pPr>
        <w:pStyle w:val="Heading3"/>
      </w:pPr>
      <w:r>
        <w:t xml:space="preserve">Sources reviewed</w:t>
      </w:r>
    </w:p>
    <w:p>
      <w:pPr>
        <w:pStyle w:val="Compact"/>
        <w:numPr>
          <w:ilvl w:val="0"/>
          <w:numId w:val="1011"/>
        </w:numPr>
      </w:pPr>
      <w:r>
        <w:t xml:space="preserve">UHS 1Q26 earnings release and April 28, 2026 earnings-call transcript.</w:t>
      </w:r>
    </w:p>
    <w:p>
      <w:pPr>
        <w:pStyle w:val="Compact"/>
        <w:numPr>
          <w:ilvl w:val="0"/>
          <w:numId w:val="1011"/>
        </w:numPr>
      </w:pPr>
      <w:r>
        <w:t xml:space="preserve">UHS 4Q25 earnings-call transcript and 2026 guidance.</w:t>
      </w:r>
    </w:p>
    <w:p>
      <w:pPr>
        <w:pStyle w:val="Compact"/>
        <w:numPr>
          <w:ilvl w:val="0"/>
          <w:numId w:val="1011"/>
        </w:numPr>
      </w:pPr>
      <w:r>
        <w:t xml:space="preserve">UHS Goldman Sachs Global Healthcare Conference transcript, June 9, 2026.</w:t>
      </w:r>
    </w:p>
    <w:p>
      <w:pPr>
        <w:pStyle w:val="Compact"/>
        <w:numPr>
          <w:ilvl w:val="0"/>
          <w:numId w:val="1011"/>
        </w:numPr>
      </w:pPr>
      <w:r>
        <w:t xml:space="preserve">UHS July 6, 2026 earnings-date announcement.</w:t>
      </w:r>
    </w:p>
    <w:p>
      <w:pPr>
        <w:pStyle w:val="Compact"/>
        <w:numPr>
          <w:ilvl w:val="0"/>
          <w:numId w:val="1011"/>
        </w:numPr>
      </w:pPr>
      <w:r>
        <w:t xml:space="preserve">UHS April 24 and July 21, 2026 credit-facility 8-K filings.</w:t>
      </w:r>
    </w:p>
    <w:p>
      <w:pPr>
        <w:pStyle w:val="Compact"/>
        <w:numPr>
          <w:ilvl w:val="0"/>
          <w:numId w:val="1011"/>
        </w:numPr>
      </w:pPr>
      <w:r>
        <w:t xml:space="preserve">UHS historical share-price data through July 24, 2026.</w:t>
      </w:r>
    </w:p>
    <w:bookmarkEnd w:id="22"/>
    <w:bookmarkEnd w:id="23"/>
    <w:bookmarkEnd w:id="2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2026-07-27T00:26:43Z</dcterms:created>
  <dcterms:modified xsi:type="dcterms:W3CDTF">2026-07-27T00:26:43Z</dcterms:modified>
</cp:coreProperties>
</file>

<file path=docProps/custom.xml><?xml version="1.0" encoding="utf-8"?>
<Properties xmlns="http://schemas.openxmlformats.org/officeDocument/2006/custom-properties" xmlns:vt="http://schemas.openxmlformats.org/officeDocument/2006/docPropsVTypes"/>
</file>