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hs-earnings-predictions--2026-07-27"/>
    <w:p>
      <w:pPr>
        <w:pStyle w:val="Heading1"/>
      </w:pPr>
      <w:r>
        <w:t xml:space="preserve">UHS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~$6.05 vs. cons $5.96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Acute same-store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~7.0% vs. cons 7.9%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Behavioral same-store adjusted patient-day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~1.8% vs. cons 1.7%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22.64</m:t>
              </m:r>
              <m:r>
                <m:rPr>
                  <m:sty m:val="p"/>
                </m:rPr>
                <m:t>−</m:t>
              </m:r>
            </m:oMath>
            <w:r>
              <w:t xml:space="preserve">24.52 vs. cons $23.52 midpoint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18.417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18.789B vs. cons $18.551B midpoint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exchange-headwind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~$75M pretax headwind;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forward-risk focus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2026-07-30T02:06:38Z</dcterms:created>
  <dcterms:modified xsi:type="dcterms:W3CDTF">2026-07-30T02:06:38Z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