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Universal Health Services (UHS)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Universal Health Services, Inc.</w:t>
            </w:r>
          </w:p>
        </w:tc>
        <w:tc>
          <w:tcPr>
            <w:tcW w:type="dxa" w:w="2160"/>
          </w:tcPr>
          <w:p>
            <w:r>
              <w:rPr>
                <w:rFonts w:ascii="Calibri" w:hAnsi="Calibri"/>
                <w:b/>
                <w:sz w:val="22"/>
              </w:rPr>
              <w:t>Earnings Date</w:t>
            </w:r>
          </w:p>
        </w:tc>
        <w:tc>
          <w:tcPr>
            <w:tcW w:type="dxa" w:w="2160"/>
          </w:tcPr>
          <w:p>
            <w:r>
              <w:rPr>
                <w:rFonts w:ascii="Calibri" w:hAnsi="Calibri"/>
                <w:sz w:val="22"/>
              </w:rPr>
              <w:t>July 28, 2026 (9:00 AM ET)</w:t>
            </w:r>
          </w:p>
        </w:tc>
      </w:tr>
      <w:tr>
        <w:tc>
          <w:tcPr>
            <w:tcW w:type="dxa" w:w="2160"/>
          </w:tcPr>
          <w:p>
            <w:r>
              <w:rPr>
                <w:rFonts w:ascii="Calibri" w:hAnsi="Calibri"/>
                <w:b/>
                <w:sz w:val="22"/>
              </w:rPr>
              <w:t>Ticker</w:t>
            </w:r>
          </w:p>
        </w:tc>
        <w:tc>
          <w:tcPr>
            <w:tcW w:type="dxa" w:w="2160"/>
          </w:tcPr>
          <w:p>
            <w:r>
              <w:rPr>
                <w:rFonts w:ascii="Calibri" w:hAnsi="Calibri"/>
                <w:sz w:val="22"/>
              </w:rPr>
              <w:t>UHS (NYSE)</w:t>
            </w:r>
          </w:p>
        </w:tc>
        <w:tc>
          <w:tcPr>
            <w:tcW w:type="dxa" w:w="2160"/>
          </w:tcPr>
          <w:p>
            <w:r>
              <w:rPr>
                <w:rFonts w:ascii="Calibri" w:hAnsi="Calibri"/>
                <w:b/>
                <w:sz w:val="22"/>
              </w:rPr>
              <w:t>Reporting Period</w:t>
            </w:r>
          </w:p>
        </w:tc>
        <w:tc>
          <w:tcPr>
            <w:tcW w:type="dxa" w:w="2160"/>
          </w:tcPr>
          <w:p>
            <w:r>
              <w:rPr>
                <w:rFonts w:ascii="Calibri" w:hAnsi="Calibri"/>
                <w:sz w:val="22"/>
              </w:rPr>
              <w:t>Q2 2026 (quarter ended June 30, 2026)</w:t>
            </w:r>
          </w:p>
        </w:tc>
      </w:tr>
      <w:tr>
        <w:tc>
          <w:tcPr>
            <w:tcW w:type="dxa" w:w="2160"/>
          </w:tcPr>
          <w:p>
            <w:r>
              <w:rPr>
                <w:rFonts w:ascii="Calibri" w:hAnsi="Calibri"/>
                <w:b/>
                <w:sz w:val="22"/>
              </w:rPr>
              <w:t>Sector</w:t>
            </w:r>
          </w:p>
        </w:tc>
        <w:tc>
          <w:tcPr>
            <w:tcW w:type="dxa" w:w="2160"/>
          </w:tcPr>
          <w:p>
            <w:r>
              <w:rPr>
                <w:rFonts w:ascii="Calibri" w:hAnsi="Calibri"/>
                <w:sz w:val="22"/>
              </w:rPr>
              <w:t>Healthcare — Acute &amp; Behavioral Hospitals</w:t>
            </w:r>
          </w:p>
        </w:tc>
        <w:tc>
          <w:tcPr>
            <w:tcW w:type="dxa" w:w="2160"/>
          </w:tcPr>
          <w:p>
            <w:r>
              <w:rPr>
                <w:rFonts w:ascii="Calibri" w:hAnsi="Calibri"/>
                <w:b/>
                <w:sz w:val="22"/>
              </w:rPr>
              <w:t>Prepared</w:t>
            </w:r>
          </w:p>
        </w:tc>
        <w:tc>
          <w:tcPr>
            <w:tcW w:type="dxa" w:w="2160"/>
          </w:tcPr>
          <w:p>
            <w:r>
              <w:rPr>
                <w:rFonts w:ascii="Calibri" w:hAnsi="Calibri"/>
                <w:sz w:val="22"/>
              </w:rPr>
              <w:t>July 26, 2026</w:t>
            </w:r>
          </w:p>
        </w:tc>
      </w:tr>
      <w:tr>
        <w:tc>
          <w:tcPr>
            <w:tcW w:type="dxa" w:w="2160"/>
          </w:tcPr>
          <w:p>
            <w:r>
              <w:rPr>
                <w:rFonts w:ascii="Calibri" w:hAnsi="Calibri"/>
                <w:b/>
                <w:sz w:val="22"/>
              </w:rPr>
              <w:t>Primary Valuation Metric</w:t>
            </w:r>
          </w:p>
        </w:tc>
        <w:tc>
          <w:tcPr>
            <w:tcW w:type="dxa" w:w="2160"/>
          </w:tcPr>
          <w:p>
            <w:r>
              <w:rPr>
                <w:rFonts w:ascii="Calibri" w:hAnsi="Calibri"/>
                <w:sz w:val="22"/>
              </w:rPr>
              <w:t>EV/EBITDA (NTM)</w:t>
            </w:r>
          </w:p>
        </w:tc>
        <w:tc>
          <w:tcPr>
            <w:tcW w:type="dxa" w:w="2160"/>
          </w:tcPr>
          <w:p>
            <w:r>
              <w:rPr>
                <w:rFonts w:ascii="Calibri" w:hAnsi="Calibri"/>
                <w:b/>
                <w:sz w:val="22"/>
              </w:rPr>
              <w:t>Current NTM EV/EBITDA</w:t>
            </w:r>
          </w:p>
        </w:tc>
        <w:tc>
          <w:tcPr>
            <w:tcW w:type="dxa" w:w="2160"/>
          </w:tcPr>
          <w:p>
            <w:r>
              <w:rPr>
                <w:rFonts w:ascii="Calibri" w:hAnsi="Calibri"/>
                <w:sz w:val="22"/>
              </w:rPr>
              <w:t>~5.1x (vs. peer median ~9–10x)</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is constructive — consensus is a manageable bar, the </w:t>
      </w:r>
      <w:r>
        <w:rPr>
          <w:rFonts w:ascii="Calibri" w:hAnsi="Calibri"/>
          <w:b/>
          <w:color w:val="525866"/>
          <w:sz w:val="22"/>
        </w:rPr>
        <w:t>~$100M Florida Medicaid supplemental payment</w:t>
      </w:r>
      <w:r>
        <w:rPr>
          <w:rFonts w:ascii="Calibri" w:hAnsi="Calibri"/>
          <w:color w:val="525866"/>
          <w:sz w:val="22"/>
        </w:rPr>
        <w:t xml:space="preserve"> is a known Q2 tailwind, and management guided to an earnings ramp through the year; the biggest swing factor is how much the ACA exchange payer-mix headwind has steepened relative to the $75M full-year assumption.</w:t>
      </w:r>
    </w:p>
    <w:p>
      <w:r>
        <w:rPr>
          <w:rFonts w:ascii="Calibri" w:hAnsi="Calibri"/>
          <w:color w:val="525866"/>
          <w:sz w:val="22"/>
        </w:rPr>
        <w:t xml:space="preserve">UHS heads into Q2 2026 earnings with a well-telegraphed setup: the company reiterated full-year guidance on the Q1 call and has since confirmed at both the BofA (May 12) and Goldman Sachs (June 9) conferences that its core assumptions remain intact. The single largest known positive is the </w:t>
      </w:r>
      <w:r>
        <w:rPr>
          <w:rFonts w:ascii="Calibri" w:hAnsi="Calibri"/>
          <w:b/>
          <w:color w:val="525866"/>
          <w:sz w:val="22"/>
        </w:rPr>
        <w:t>~$100M incremental Florida fiscal-year 2025 Medicaid supplemental payment</w:t>
      </w:r>
      <w:r>
        <w:rPr>
          <w:rFonts w:ascii="Calibri" w:hAnsi="Calibri"/>
          <w:color w:val="525866"/>
          <w:sz w:val="22"/>
        </w:rPr>
        <w:t xml:space="preserve"> that management explicitly flagged for Q2 recording — a material, pre-announced earnings driver that should anchor the beat. On the volume side, management expects both acute and behavioral volumes to improve sequentially from Q1's weather-depressed 1.6% behavioral adjusted patient day growth, supported by 178 new acute beds coming online across three existing-hospital projects in Q2 and moderating behavioral headcount growth (stepping down toward 2%). The </w:t>
      </w:r>
      <w:r>
        <w:rPr>
          <w:rFonts w:ascii="Calibri" w:hAnsi="Calibri"/>
          <w:b/>
          <w:color w:val="525866"/>
          <w:sz w:val="22"/>
        </w:rPr>
        <w:t>ACA exchange headwind is the key wildcard</w:t>
      </w:r>
      <w:r>
        <w:rPr>
          <w:rFonts w:ascii="Calibri" w:hAnsi="Calibri"/>
          <w:color w:val="525866"/>
          <w:sz w:val="22"/>
        </w:rPr>
        <w:t>: HCA's July 14 pre-announcement revealed a far worse-than-expected exchange-to-uninsured conversion (nearly 1-for-1, $400M EBITDA impact in Q2), which raises the risk that UHS's $75M full-year exchange assumption is too optimistic — management acknowledged the impact would 'steepen as the year goes on' and that Q2 would provide more clarity. The stock has recovered ~7% over the past month from its lows but remains down ~24% over six months, trading at a deeply discounted ~5.1x NTM EV/EBITDA versus the peer group, suggesting the market has already priced in meaningful downside; any guidance hold or raise would likely be a positive catalyst, while a guidance cut driven by exchange exposure would confirm the bear case.</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moderate bar — the </w:t>
      </w:r>
      <w:r>
        <w:rPr>
          <w:rFonts w:ascii="Calibri" w:hAnsi="Calibri"/>
          <w:b/>
          <w:color w:val="525866"/>
          <w:sz w:val="22"/>
        </w:rPr>
        <w:t>Diluted Operating EPS estimate of ~$5.96</w:t>
      </w:r>
      <w:r>
        <w:rPr>
          <w:rFonts w:ascii="Calibri" w:hAnsi="Calibri"/>
          <w:color w:val="525866"/>
          <w:sz w:val="22"/>
        </w:rPr>
        <w:t xml:space="preserve"> is up from Q1's $5.62 actual, implying the market already expects a sequential ramp; the bigger swing factor is whether the Florida Medicaid supplemental payment and behavioral volume recovery materialize as guided, or whether the ACA exchange headwind forces a guidance cut that overwhelms both.</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(vs. Q2 2025)</w:t>
            </w:r>
          </w:p>
        </w:tc>
        <w:tc>
          <w:tcPr>
            <w:tcW w:type="dxa" w:w="1234"/>
            <w:shd w:val="clear" w:color="auto" w:fill="3B4259"/>
          </w:tcPr>
          <w:p>
            <w:r>
              <w:rPr>
                <w:rFonts w:ascii="Calibri" w:hAnsi="Calibri"/>
                <w:b/>
                <w:color w:val="FFFFFF"/>
                <w:sz w:val="22"/>
              </w:rPr>
              <w:t>FY 2026 Guidance (Midpoint)</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Diluted EPS — Operating ($)</w:t>
            </w:r>
          </w:p>
        </w:tc>
        <w:tc>
          <w:tcPr>
            <w:tcW w:type="dxa" w:w="1234"/>
          </w:tcPr>
          <w:p>
            <w:r>
              <w:rPr>
                <w:rFonts w:ascii="Calibri" w:hAnsi="Calibri"/>
                <w:sz w:val="22"/>
              </w:rPr>
              <w:t>$5.62</w:t>
            </w:r>
          </w:p>
        </w:tc>
        <w:tc>
          <w:tcPr>
            <w:tcW w:type="dxa" w:w="1234"/>
          </w:tcPr>
          <w:p>
            <w:r>
              <w:rPr>
                <w:rFonts w:ascii="Calibri" w:hAnsi="Calibri"/>
                <w:sz w:val="22"/>
              </w:rPr>
              <w:t>$5.35</w:t>
            </w:r>
          </w:p>
        </w:tc>
        <w:tc>
          <w:tcPr>
            <w:tcW w:type="dxa" w:w="1234"/>
          </w:tcPr>
          <w:p>
            <w:r>
              <w:rPr>
                <w:rFonts w:ascii="Calibri" w:hAnsi="Calibri"/>
                <w:sz w:val="22"/>
              </w:rPr>
              <w:t>$5.96</w:t>
            </w:r>
          </w:p>
        </w:tc>
        <w:tc>
          <w:tcPr>
            <w:tcW w:type="dxa" w:w="1234"/>
          </w:tcPr>
          <w:p>
            <w:r>
              <w:rPr>
                <w:rFonts w:ascii="Calibri" w:hAnsi="Calibri"/>
                <w:sz w:val="22"/>
              </w:rPr>
              <w:t>+11.4%</w:t>
            </w:r>
          </w:p>
        </w:tc>
        <w:tc>
          <w:tcPr>
            <w:tcW w:type="dxa" w:w="1234"/>
          </w:tcPr>
          <w:p>
            <w:r>
              <w:rPr>
                <w:rFonts w:ascii="Calibri" w:hAnsi="Calibri"/>
                <w:sz w:val="22"/>
              </w:rPr>
              <w:t>~$23.52 (FY midpoint)</w:t>
            </w:r>
          </w:p>
        </w:tc>
        <w:tc>
          <w:tcPr>
            <w:tcW w:type="dxa" w:w="1234"/>
          </w:tcPr>
          <w:p>
            <w:r>
              <w:rPr>
                <w:rFonts w:ascii="Calibri" w:hAnsi="Calibri"/>
                <w:sz w:val="22"/>
              </w:rPr>
              <w:t>~25% of FY run-rate; on track</w:t>
            </w:r>
          </w:p>
        </w:tc>
      </w:tr>
      <w:tr>
        <w:tc>
          <w:tcPr>
            <w:tcW w:type="dxa" w:w="1234"/>
          </w:tcPr>
          <w:p>
            <w:r>
              <w:rPr>
                <w:rFonts w:ascii="Calibri" w:hAnsi="Calibri"/>
                <w:sz w:val="22"/>
              </w:rPr>
              <w:t>Net Revenues ($B)</w:t>
            </w:r>
          </w:p>
        </w:tc>
        <w:tc>
          <w:tcPr>
            <w:tcW w:type="dxa" w:w="1234"/>
          </w:tcPr>
          <w:p>
            <w:r>
              <w:rPr>
                <w:rFonts w:ascii="Calibri" w:hAnsi="Calibri"/>
                <w:sz w:val="22"/>
              </w:rPr>
              <w:t>$4.50B</w:t>
            </w:r>
          </w:p>
        </w:tc>
        <w:tc>
          <w:tcPr>
            <w:tcW w:type="dxa" w:w="1234"/>
          </w:tcPr>
          <w:p>
            <w:r>
              <w:rPr>
                <w:rFonts w:ascii="Calibri" w:hAnsi="Calibri"/>
                <w:sz w:val="22"/>
              </w:rPr>
              <w:t>$4.28B</w:t>
            </w:r>
          </w:p>
        </w:tc>
        <w:tc>
          <w:tcPr>
            <w:tcW w:type="dxa" w:w="1234"/>
          </w:tcPr>
          <w:p>
            <w:r>
              <w:rPr>
                <w:rFonts w:ascii="Calibri" w:hAnsi="Calibri"/>
                <w:sz w:val="22"/>
              </w:rPr>
              <w:t>$4.59B</w:t>
            </w:r>
          </w:p>
        </w:tc>
        <w:tc>
          <w:tcPr>
            <w:tcW w:type="dxa" w:w="1234"/>
          </w:tcPr>
          <w:p>
            <w:r>
              <w:rPr>
                <w:rFonts w:ascii="Calibri" w:hAnsi="Calibri"/>
                <w:sz w:val="22"/>
              </w:rPr>
              <w:t>+7.2%</w:t>
            </w:r>
          </w:p>
        </w:tc>
        <w:tc>
          <w:tcPr>
            <w:tcW w:type="dxa" w:w="1234"/>
          </w:tcPr>
          <w:p>
            <w:r>
              <w:rPr>
                <w:rFonts w:ascii="Calibri" w:hAnsi="Calibri"/>
                <w:sz w:val="22"/>
              </w:rPr>
              <w:t>~$18.55B (FY consensus)</w:t>
            </w:r>
          </w:p>
        </w:tc>
        <w:tc>
          <w:tcPr>
            <w:tcW w:type="dxa" w:w="1234"/>
          </w:tcPr>
          <w:p>
            <w:r>
              <w:rPr>
                <w:rFonts w:ascii="Calibri" w:hAnsi="Calibri"/>
                <w:sz w:val="22"/>
              </w:rPr>
              <w:t>~24.7% of FY; on track</w:t>
            </w:r>
          </w:p>
        </w:tc>
      </w:tr>
      <w:tr>
        <w:tc>
          <w:tcPr>
            <w:tcW w:type="dxa" w:w="1234"/>
          </w:tcPr>
          <w:p>
            <w:r>
              <w:rPr>
                <w:rFonts w:ascii="Calibri" w:hAnsi="Calibri"/>
                <w:sz w:val="22"/>
              </w:rPr>
              <w:t>Acute Same-Store Revenue Growth (%)</w:t>
            </w:r>
          </w:p>
        </w:tc>
        <w:tc>
          <w:tcPr>
            <w:tcW w:type="dxa" w:w="1234"/>
          </w:tcPr>
          <w:p>
            <w:r>
              <w:rPr>
                <w:rFonts w:ascii="Calibri" w:hAnsi="Calibri"/>
                <w:sz w:val="22"/>
              </w:rPr>
              <w:t>8.2%</w:t>
            </w:r>
          </w:p>
        </w:tc>
        <w:tc>
          <w:tcPr>
            <w:tcW w:type="dxa" w:w="1234"/>
          </w:tcPr>
          <w:p>
            <w:r>
              <w:rPr>
                <w:rFonts w:ascii="Calibri" w:hAnsi="Calibri"/>
                <w:sz w:val="22"/>
              </w:rPr>
              <w:t>7.9%</w:t>
            </w:r>
          </w:p>
        </w:tc>
        <w:tc>
          <w:tcPr>
            <w:tcW w:type="dxa" w:w="1234"/>
          </w:tcPr>
          <w:p>
            <w:r>
              <w:rPr>
                <w:rFonts w:ascii="Calibri" w:hAnsi="Calibri"/>
                <w:sz w:val="22"/>
              </w:rPr>
              <w:t>~7.9%</w:t>
            </w:r>
          </w:p>
        </w:tc>
        <w:tc>
          <w:tcPr>
            <w:tcW w:type="dxa" w:w="1234"/>
          </w:tcPr>
          <w:p>
            <w:r>
              <w:rPr>
                <w:rFonts w:ascii="Calibri" w:hAnsi="Calibri"/>
                <w:sz w:val="22"/>
              </w:rPr>
              <w:t>Flat YoY</w:t>
            </w:r>
          </w:p>
        </w:tc>
        <w:tc>
          <w:tcPr>
            <w:tcW w:type="dxa" w:w="1234"/>
          </w:tcPr>
          <w:p>
            <w:r>
              <w:rPr>
                <w:rFonts w:ascii="Calibri" w:hAnsi="Calibri"/>
                <w:sz w:val="22"/>
              </w:rPr>
              <w:t>~6–7% (mgmt. target)</w:t>
            </w:r>
          </w:p>
        </w:tc>
        <w:tc>
          <w:tcPr>
            <w:tcW w:type="dxa" w:w="1234"/>
          </w:tcPr>
          <w:p>
            <w:r>
              <w:rPr>
                <w:rFonts w:ascii="Calibri" w:hAnsi="Calibri"/>
                <w:sz w:val="22"/>
              </w:rPr>
              <w:t>Above FY target</w:t>
            </w:r>
          </w:p>
        </w:tc>
      </w:tr>
      <w:tr>
        <w:tc>
          <w:tcPr>
            <w:tcW w:type="dxa" w:w="1234"/>
          </w:tcPr>
          <w:p>
            <w:r>
              <w:rPr>
                <w:rFonts w:ascii="Calibri" w:hAnsi="Calibri"/>
                <w:sz w:val="22"/>
              </w:rPr>
              <w:t>Behavioral Same-Store Revenue Growth (%)</w:t>
            </w:r>
          </w:p>
        </w:tc>
        <w:tc>
          <w:tcPr>
            <w:tcW w:type="dxa" w:w="1234"/>
          </w:tcPr>
          <w:p>
            <w:r>
              <w:rPr>
                <w:rFonts w:ascii="Calibri" w:hAnsi="Calibri"/>
                <w:sz w:val="22"/>
              </w:rPr>
              <w:t>7.3%</w:t>
            </w:r>
          </w:p>
        </w:tc>
        <w:tc>
          <w:tcPr>
            <w:tcW w:type="dxa" w:w="1234"/>
          </w:tcPr>
          <w:p>
            <w:r>
              <w:rPr>
                <w:rFonts w:ascii="Calibri" w:hAnsi="Calibri"/>
                <w:sz w:val="22"/>
              </w:rPr>
              <w:t>8.9%</w:t>
            </w:r>
          </w:p>
        </w:tc>
        <w:tc>
          <w:tcPr>
            <w:tcW w:type="dxa" w:w="1234"/>
          </w:tcPr>
          <w:p>
            <w:r>
              <w:rPr>
                <w:rFonts w:ascii="Calibri" w:hAnsi="Calibri"/>
                <w:sz w:val="22"/>
              </w:rPr>
              <w:t>~3.5%</w:t>
            </w:r>
          </w:p>
        </w:tc>
        <w:tc>
          <w:tcPr>
            <w:tcW w:type="dxa" w:w="1234"/>
          </w:tcPr>
          <w:p>
            <w:r>
              <w:rPr>
                <w:rFonts w:ascii="Calibri" w:hAnsi="Calibri"/>
                <w:sz w:val="22"/>
              </w:rPr>
              <w:t>-540 bps YoY</w:t>
            </w:r>
          </w:p>
        </w:tc>
        <w:tc>
          <w:tcPr>
            <w:tcW w:type="dxa" w:w="1234"/>
          </w:tcPr>
          <w:p>
            <w:r>
              <w:rPr>
                <w:rFonts w:ascii="Calibri" w:hAnsi="Calibri"/>
                <w:sz w:val="22"/>
              </w:rPr>
              <w:t>~4–5% (mgmt. target)</w:t>
            </w:r>
          </w:p>
        </w:tc>
        <w:tc>
          <w:tcPr>
            <w:tcW w:type="dxa" w:w="1234"/>
          </w:tcPr>
          <w:p>
            <w:r>
              <w:rPr>
                <w:rFonts w:ascii="Calibri" w:hAnsi="Calibri"/>
                <w:sz w:val="22"/>
              </w:rPr>
              <w:t>Below FY target</w:t>
            </w:r>
          </w:p>
        </w:tc>
      </w:tr>
      <w:tr>
        <w:tc>
          <w:tcPr>
            <w:tcW w:type="dxa" w:w="1234"/>
          </w:tcPr>
          <w:p>
            <w:r>
              <w:rPr>
                <w:rFonts w:ascii="Calibri" w:hAnsi="Calibri"/>
                <w:sz w:val="22"/>
              </w:rPr>
              <w:t>Behavioral Adj. Patient Day Growth — SS (%)</w:t>
            </w:r>
          </w:p>
        </w:tc>
        <w:tc>
          <w:tcPr>
            <w:tcW w:type="dxa" w:w="1234"/>
          </w:tcPr>
          <w:p>
            <w:r>
              <w:rPr>
                <w:rFonts w:ascii="Calibri" w:hAnsi="Calibri"/>
                <w:sz w:val="22"/>
              </w:rPr>
              <w:t>1.6%</w:t>
            </w:r>
          </w:p>
        </w:tc>
        <w:tc>
          <w:tcPr>
            <w:tcW w:type="dxa" w:w="1234"/>
          </w:tcPr>
          <w:p>
            <w:r>
              <w:rPr>
                <w:rFonts w:ascii="Calibri" w:hAnsi="Calibri"/>
                <w:sz w:val="22"/>
              </w:rPr>
              <w:t>1.2%</w:t>
            </w:r>
          </w:p>
        </w:tc>
        <w:tc>
          <w:tcPr>
            <w:tcW w:type="dxa" w:w="1234"/>
          </w:tcPr>
          <w:p>
            <w:r>
              <w:rPr>
                <w:rFonts w:ascii="Calibri" w:hAnsi="Calibri"/>
                <w:sz w:val="22"/>
              </w:rPr>
              <w:t>~1.7%</w:t>
            </w:r>
          </w:p>
        </w:tc>
        <w:tc>
          <w:tcPr>
            <w:tcW w:type="dxa" w:w="1234"/>
          </w:tcPr>
          <w:p>
            <w:r>
              <w:rPr>
                <w:rFonts w:ascii="Calibri" w:hAnsi="Calibri"/>
                <w:sz w:val="22"/>
              </w:rPr>
              <w:t>+50 bps YoY</w:t>
            </w:r>
          </w:p>
        </w:tc>
        <w:tc>
          <w:tcPr>
            <w:tcW w:type="dxa" w:w="1234"/>
          </w:tcPr>
          <w:p>
            <w:r>
              <w:rPr>
                <w:rFonts w:ascii="Calibri" w:hAnsi="Calibri"/>
                <w:sz w:val="22"/>
              </w:rPr>
              <w:t>2%–3% (mgmt. target)</w:t>
            </w:r>
          </w:p>
        </w:tc>
        <w:tc>
          <w:tcPr>
            <w:tcW w:type="dxa" w:w="1234"/>
          </w:tcPr>
          <w:p>
            <w:r>
              <w:rPr>
                <w:rFonts w:ascii="Calibri" w:hAnsi="Calibri"/>
                <w:sz w:val="22"/>
              </w:rPr>
              <w:t>Below FY target</w:t>
            </w:r>
          </w:p>
        </w:tc>
      </w:tr>
    </w:tbl>
    <w:p>
      <w:r>
        <w:rPr>
          <w:rFonts w:ascii="Calibri" w:hAnsi="Calibri"/>
          <w:i/>
          <w:color w:val="525866"/>
          <w:sz w:val="22"/>
        </w:rPr>
        <w:t xml:space="preserve">Sources: </w:t>
      </w:r>
      <w:r>
        <w:rPr>
          <w:rFonts w:ascii="Calibri" w:hAnsi="Calibri"/>
          <w:i/>
          <w:color w:val="525866"/>
          <w:sz w:val="22"/>
        </w:rPr>
        <w:t>Visible Alpha Consensus and Actuals Data (UHS IS, AC, BH segments). Q2 2026 consensus as of July 25, 2026. FY 2026 guidance from Q1 2026 earnings call (April 28, 2026) and BofA/Goldman Sachs conference disclosures.</w:t>
      </w:r>
    </w:p>
    <w:p>
      <w:pPr>
        <w:pStyle w:val="Heading3"/>
      </w:pPr>
      <w:r>
        <w:rPr>
          <w:rFonts w:ascii="Calibri" w:hAnsi="Calibri"/>
          <w:b/>
          <w:color w:val="3B4259"/>
          <w:sz w:val="24"/>
        </w:rPr>
        <w:t>Table 2 — Beat / Miss History (Last 8 Quarters, Top 2 KPIs)</w:t>
      </w:r>
    </w:p>
    <w:p>
      <w:pPr>
        <w:pStyle w:val="Heading4"/>
      </w:pPr>
      <w:r>
        <w:rPr>
          <w:rFonts w:ascii="Calibri" w:hAnsi="Calibri"/>
          <w:b/>
          <w:color w:val="3B4259"/>
          <w:sz w:val="22"/>
        </w:rPr>
        <w:t>KPI 1: Diluted EPS —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Q3 2024</w:t>
            </w:r>
          </w:p>
        </w:tc>
        <w:tc>
          <w:tcPr>
            <w:tcW w:type="dxa" w:w="1728"/>
          </w:tcPr>
          <w:p>
            <w:r>
              <w:rPr>
                <w:rFonts w:ascii="Calibri" w:hAnsi="Calibri"/>
                <w:sz w:val="22"/>
              </w:rPr>
              <w:t>$3.71</w:t>
            </w:r>
          </w:p>
        </w:tc>
        <w:tc>
          <w:tcPr>
            <w:tcW w:type="dxa" w:w="1728"/>
          </w:tcPr>
          <w:p>
            <w:r>
              <w:rPr>
                <w:rFonts w:ascii="Calibri" w:hAnsi="Calibri"/>
                <w:sz w:val="22"/>
              </w:rPr>
              <w:t>$3.68</w:t>
            </w:r>
          </w:p>
        </w:tc>
        <w:tc>
          <w:tcPr>
            <w:tcW w:type="dxa" w:w="1728"/>
          </w:tcPr>
          <w:p>
            <w:r>
              <w:rPr>
                <w:rFonts w:ascii="Calibri" w:hAnsi="Calibri"/>
                <w:sz w:val="22"/>
              </w:rPr>
              <w:t>+0.8%</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$4.92</w:t>
            </w:r>
          </w:p>
        </w:tc>
        <w:tc>
          <w:tcPr>
            <w:tcW w:type="dxa" w:w="1728"/>
          </w:tcPr>
          <w:p>
            <w:r>
              <w:rPr>
                <w:rFonts w:ascii="Calibri" w:hAnsi="Calibri"/>
                <w:sz w:val="22"/>
              </w:rPr>
              <w:t>$4.15</w:t>
            </w:r>
          </w:p>
        </w:tc>
        <w:tc>
          <w:tcPr>
            <w:tcW w:type="dxa" w:w="1728"/>
          </w:tcPr>
          <w:p>
            <w:r>
              <w:rPr>
                <w:rFonts w:ascii="Calibri" w:hAnsi="Calibri"/>
                <w:sz w:val="22"/>
              </w:rPr>
              <w:t>+18.5%</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$4.84</w:t>
            </w:r>
          </w:p>
        </w:tc>
        <w:tc>
          <w:tcPr>
            <w:tcW w:type="dxa" w:w="1728"/>
          </w:tcPr>
          <w:p>
            <w:r>
              <w:rPr>
                <w:rFonts w:ascii="Calibri" w:hAnsi="Calibri"/>
                <w:sz w:val="22"/>
              </w:rPr>
              <w:t>$4.36</w:t>
            </w:r>
          </w:p>
        </w:tc>
        <w:tc>
          <w:tcPr>
            <w:tcW w:type="dxa" w:w="1728"/>
          </w:tcPr>
          <w:p>
            <w:r>
              <w:rPr>
                <w:rFonts w:ascii="Calibri" w:hAnsi="Calibri"/>
                <w:sz w:val="22"/>
              </w:rPr>
              <w:t>+11.0%</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$5.35</w:t>
            </w:r>
          </w:p>
        </w:tc>
        <w:tc>
          <w:tcPr>
            <w:tcW w:type="dxa" w:w="1728"/>
          </w:tcPr>
          <w:p>
            <w:r>
              <w:rPr>
                <w:rFonts w:ascii="Calibri" w:hAnsi="Calibri"/>
                <w:sz w:val="22"/>
              </w:rPr>
              <w:t>$4.90</w:t>
            </w:r>
          </w:p>
        </w:tc>
        <w:tc>
          <w:tcPr>
            <w:tcW w:type="dxa" w:w="1728"/>
          </w:tcPr>
          <w:p>
            <w:r>
              <w:rPr>
                <w:rFonts w:ascii="Calibri" w:hAnsi="Calibri"/>
                <w:sz w:val="22"/>
              </w:rPr>
              <w:t>+9.2%</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$5.69</w:t>
            </w:r>
          </w:p>
        </w:tc>
        <w:tc>
          <w:tcPr>
            <w:tcW w:type="dxa" w:w="1728"/>
          </w:tcPr>
          <w:p>
            <w:r>
              <w:rPr>
                <w:rFonts w:ascii="Calibri" w:hAnsi="Calibri"/>
                <w:sz w:val="22"/>
              </w:rPr>
              <w:t>$4.92</w:t>
            </w:r>
          </w:p>
        </w:tc>
        <w:tc>
          <w:tcPr>
            <w:tcW w:type="dxa" w:w="1728"/>
          </w:tcPr>
          <w:p>
            <w:r>
              <w:rPr>
                <w:rFonts w:ascii="Calibri" w:hAnsi="Calibri"/>
                <w:sz w:val="22"/>
              </w:rPr>
              <w:t>+15.7%</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$5.88</w:t>
            </w:r>
          </w:p>
        </w:tc>
        <w:tc>
          <w:tcPr>
            <w:tcW w:type="dxa" w:w="1728"/>
          </w:tcPr>
          <w:p>
            <w:r>
              <w:rPr>
                <w:rFonts w:ascii="Calibri" w:hAnsi="Calibri"/>
                <w:sz w:val="22"/>
              </w:rPr>
              <w:t>$5.92</w:t>
            </w:r>
          </w:p>
        </w:tc>
        <w:tc>
          <w:tcPr>
            <w:tcW w:type="dxa" w:w="1728"/>
          </w:tcPr>
          <w:p>
            <w:r>
              <w:rPr>
                <w:rFonts w:ascii="Calibri" w:hAnsi="Calibri"/>
                <w:sz w:val="22"/>
              </w:rPr>
              <w:t>-0.7%</w:t>
            </w:r>
          </w:p>
        </w:tc>
        <w:tc>
          <w:tcPr>
            <w:tcW w:type="dxa" w:w="1728"/>
          </w:tcPr>
          <w:p>
            <w:r>
              <w:rPr>
                <w:rFonts w:ascii="Calibri" w:hAnsi="Calibri"/>
                <w:b/>
                <w:color w:val="E5484D"/>
                <w:sz w:val="22"/>
              </w:rPr>
              <w:t>Miss</w:t>
            </w:r>
          </w:p>
        </w:tc>
      </w:tr>
      <w:tr>
        <w:tc>
          <w:tcPr>
            <w:tcW w:type="dxa" w:w="1728"/>
          </w:tcPr>
          <w:p>
            <w:r>
              <w:rPr>
                <w:rFonts w:ascii="Calibri" w:hAnsi="Calibri"/>
                <w:sz w:val="22"/>
              </w:rPr>
              <w:t>Q1 2026</w:t>
            </w:r>
          </w:p>
        </w:tc>
        <w:tc>
          <w:tcPr>
            <w:tcW w:type="dxa" w:w="1728"/>
          </w:tcPr>
          <w:p>
            <w:r>
              <w:rPr>
                <w:rFonts w:ascii="Calibri" w:hAnsi="Calibri"/>
                <w:sz w:val="22"/>
              </w:rPr>
              <w:t>$5.62</w:t>
            </w:r>
          </w:p>
        </w:tc>
        <w:tc>
          <w:tcPr>
            <w:tcW w:type="dxa" w:w="1728"/>
          </w:tcPr>
          <w:p>
            <w:r>
              <w:rPr>
                <w:rFonts w:ascii="Calibri" w:hAnsi="Calibri"/>
                <w:sz w:val="22"/>
              </w:rPr>
              <w:t>$5.28</w:t>
            </w:r>
          </w:p>
        </w:tc>
        <w:tc>
          <w:tcPr>
            <w:tcW w:type="dxa" w:w="1728"/>
          </w:tcPr>
          <w:p>
            <w:r>
              <w:rPr>
                <w:rFonts w:ascii="Calibri" w:hAnsi="Calibri"/>
                <w:sz w:val="22"/>
              </w:rPr>
              <w:t>+6.4%</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UHS has beaten operating EPS consensus in 6 of the last 7 reported quarters, with an average positive surprise of ~+9% — the one miss (Q4 2025) was narrow at -0.7%. The consistent beat pattern reflects management's conservative guidance posture and the lumpy but additive nature of Medicaid supplemental payment timing.</w:t>
      </w:r>
    </w:p>
    <w:p>
      <w:r>
        <w:rPr>
          <w:rFonts w:ascii="Calibri" w:hAnsi="Calibri"/>
          <w:i/>
          <w:color w:val="525866"/>
          <w:sz w:val="22"/>
        </w:rPr>
        <w:t xml:space="preserve">Source: </w:t>
      </w:r>
      <w:r>
        <w:rPr>
          <w:rFonts w:ascii="Calibri" w:hAnsi="Calibri"/>
          <w:i/>
          <w:color w:val="525866"/>
          <w:sz w:val="22"/>
        </w:rPr>
        <w:t>Visible Alpha Consensus and Actuals Data (UHS IS).</w:t>
      </w:r>
    </w:p>
    <w:p>
      <w:pPr>
        <w:pStyle w:val="Heading4"/>
      </w:pPr>
      <w:r>
        <w:rPr>
          <w:rFonts w:ascii="Calibri" w:hAnsi="Calibri"/>
          <w:b/>
          <w:color w:val="3B4259"/>
          <w:sz w:val="22"/>
        </w:rPr>
        <w:t>KPI 2: Net Revenues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Q3 2024</w:t>
            </w:r>
          </w:p>
        </w:tc>
        <w:tc>
          <w:tcPr>
            <w:tcW w:type="dxa" w:w="1728"/>
          </w:tcPr>
          <w:p>
            <w:r>
              <w:rPr>
                <w:rFonts w:ascii="Calibri" w:hAnsi="Calibri"/>
                <w:sz w:val="22"/>
              </w:rPr>
              <w:t>$3.96B</w:t>
            </w:r>
          </w:p>
        </w:tc>
        <w:tc>
          <w:tcPr>
            <w:tcW w:type="dxa" w:w="1728"/>
          </w:tcPr>
          <w:p>
            <w:r>
              <w:rPr>
                <w:rFonts w:ascii="Calibri" w:hAnsi="Calibri"/>
                <w:sz w:val="22"/>
              </w:rPr>
              <w:t>$3.90B</w:t>
            </w:r>
          </w:p>
        </w:tc>
        <w:tc>
          <w:tcPr>
            <w:tcW w:type="dxa" w:w="1728"/>
          </w:tcPr>
          <w:p>
            <w:r>
              <w:rPr>
                <w:rFonts w:ascii="Calibri" w:hAnsi="Calibri"/>
                <w:sz w:val="22"/>
              </w:rPr>
              <w:t>+1.7%</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$4.11B</w:t>
            </w:r>
          </w:p>
        </w:tc>
        <w:tc>
          <w:tcPr>
            <w:tcW w:type="dxa" w:w="1728"/>
          </w:tcPr>
          <w:p>
            <w:r>
              <w:rPr>
                <w:rFonts w:ascii="Calibri" w:hAnsi="Calibri"/>
                <w:sz w:val="22"/>
              </w:rPr>
              <w:t>$4.01B</w:t>
            </w:r>
          </w:p>
        </w:tc>
        <w:tc>
          <w:tcPr>
            <w:tcW w:type="dxa" w:w="1728"/>
          </w:tcPr>
          <w:p>
            <w:r>
              <w:rPr>
                <w:rFonts w:ascii="Calibri" w:hAnsi="Calibri"/>
                <w:sz w:val="22"/>
              </w:rPr>
              <w:t>+2.6%</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$4.10B</w:t>
            </w:r>
          </w:p>
        </w:tc>
        <w:tc>
          <w:tcPr>
            <w:tcW w:type="dxa" w:w="1728"/>
          </w:tcPr>
          <w:p>
            <w:r>
              <w:rPr>
                <w:rFonts w:ascii="Calibri" w:hAnsi="Calibri"/>
                <w:sz w:val="22"/>
              </w:rPr>
              <w:t>$4.15B</w:t>
            </w:r>
          </w:p>
        </w:tc>
        <w:tc>
          <w:tcPr>
            <w:tcW w:type="dxa" w:w="1728"/>
          </w:tcPr>
          <w:p>
            <w:r>
              <w:rPr>
                <w:rFonts w:ascii="Calibri" w:hAnsi="Calibri"/>
                <w:sz w:val="22"/>
              </w:rPr>
              <w:t>-1.2%</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$4.28B</w:t>
            </w:r>
          </w:p>
        </w:tc>
        <w:tc>
          <w:tcPr>
            <w:tcW w:type="dxa" w:w="1728"/>
          </w:tcPr>
          <w:p>
            <w:r>
              <w:rPr>
                <w:rFonts w:ascii="Calibri" w:hAnsi="Calibri"/>
                <w:sz w:val="22"/>
              </w:rPr>
              <w:t>$4.24B</w:t>
            </w:r>
          </w:p>
        </w:tc>
        <w:tc>
          <w:tcPr>
            <w:tcW w:type="dxa" w:w="1728"/>
          </w:tcPr>
          <w:p>
            <w:r>
              <w:rPr>
                <w:rFonts w:ascii="Calibri" w:hAnsi="Calibri"/>
                <w:sz w:val="22"/>
              </w:rPr>
              <w:t>+1.0%</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$4.50B</w:t>
            </w:r>
          </w:p>
        </w:tc>
        <w:tc>
          <w:tcPr>
            <w:tcW w:type="dxa" w:w="1728"/>
          </w:tcPr>
          <w:p>
            <w:r>
              <w:rPr>
                <w:rFonts w:ascii="Calibri" w:hAnsi="Calibri"/>
                <w:sz w:val="22"/>
              </w:rPr>
              <w:t>$4.37B</w:t>
            </w:r>
          </w:p>
        </w:tc>
        <w:tc>
          <w:tcPr>
            <w:tcW w:type="dxa" w:w="1728"/>
          </w:tcPr>
          <w:p>
            <w:r>
              <w:rPr>
                <w:rFonts w:ascii="Calibri" w:hAnsi="Calibri"/>
                <w:sz w:val="22"/>
              </w:rPr>
              <w:t>+2.9%</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$4.49B</w:t>
            </w:r>
          </w:p>
        </w:tc>
        <w:tc>
          <w:tcPr>
            <w:tcW w:type="dxa" w:w="1728"/>
          </w:tcPr>
          <w:p>
            <w:r>
              <w:rPr>
                <w:rFonts w:ascii="Calibri" w:hAnsi="Calibri"/>
                <w:sz w:val="22"/>
              </w:rPr>
              <w:t>$4.51B</w:t>
            </w:r>
          </w:p>
        </w:tc>
        <w:tc>
          <w:tcPr>
            <w:tcW w:type="dxa" w:w="1728"/>
          </w:tcPr>
          <w:p>
            <w:r>
              <w:rPr>
                <w:rFonts w:ascii="Calibri" w:hAnsi="Calibri"/>
                <w:sz w:val="22"/>
              </w:rPr>
              <w:t>-0.5%</w:t>
            </w:r>
          </w:p>
        </w:tc>
        <w:tc>
          <w:tcPr>
            <w:tcW w:type="dxa" w:w="1728"/>
          </w:tcPr>
          <w:p>
            <w:r>
              <w:rPr>
                <w:rFonts w:ascii="Calibri" w:hAnsi="Calibri"/>
                <w:b/>
                <w:color w:val="E5484D"/>
                <w:sz w:val="22"/>
              </w:rPr>
              <w:t>Miss</w:t>
            </w:r>
          </w:p>
        </w:tc>
      </w:tr>
      <w:tr>
        <w:tc>
          <w:tcPr>
            <w:tcW w:type="dxa" w:w="1728"/>
          </w:tcPr>
          <w:p>
            <w:r>
              <w:rPr>
                <w:rFonts w:ascii="Calibri" w:hAnsi="Calibri"/>
                <w:sz w:val="22"/>
              </w:rPr>
              <w:t>Q1 2026</w:t>
            </w:r>
          </w:p>
        </w:tc>
        <w:tc>
          <w:tcPr>
            <w:tcW w:type="dxa" w:w="1728"/>
          </w:tcPr>
          <w:p>
            <w:r>
              <w:rPr>
                <w:rFonts w:ascii="Calibri" w:hAnsi="Calibri"/>
                <w:sz w:val="22"/>
              </w:rPr>
              <w:t>$4.50B</w:t>
            </w:r>
          </w:p>
        </w:tc>
        <w:tc>
          <w:tcPr>
            <w:tcW w:type="dxa" w:w="1728"/>
          </w:tcPr>
          <w:p>
            <w:r>
              <w:rPr>
                <w:rFonts w:ascii="Calibri" w:hAnsi="Calibri"/>
                <w:sz w:val="22"/>
              </w:rPr>
              <w:t>$4.39B</w:t>
            </w:r>
          </w:p>
        </w:tc>
        <w:tc>
          <w:tcPr>
            <w:tcW w:type="dxa" w:w="1728"/>
          </w:tcPr>
          <w:p>
            <w:r>
              <w:rPr>
                <w:rFonts w:ascii="Calibri" w:hAnsi="Calibri"/>
                <w:sz w:val="22"/>
              </w:rPr>
              <w:t>+2.5%</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Revenue beats are consistent but modest (averaging ~+1.5% when positive), with two narrow misses in Q1 2025 and Q4 2025. Revenue surprises are smaller than EPS surprises, suggesting the upside is primarily driven by cost management and supplemental payment timing rather than top-line outperformance.</w:t>
      </w:r>
    </w:p>
    <w:p>
      <w:r>
        <w:rPr>
          <w:rFonts w:ascii="Calibri" w:hAnsi="Calibri"/>
          <w:i/>
          <w:color w:val="525866"/>
          <w:sz w:val="22"/>
        </w:rPr>
        <w:t xml:space="preserve">Source: </w:t>
      </w:r>
      <w:r>
        <w:rPr>
          <w:rFonts w:ascii="Calibri" w:hAnsi="Calibri"/>
          <w:i/>
          <w:color w:val="525866"/>
          <w:sz w:val="22"/>
        </w:rPr>
        <w:t>Visible Alpha Consensus and Actuals Data (UHS IS).</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Full-year guidance has been reiterated unchanged since the February 25 initial issuance; the only material post-Q1 update is the </w:t>
      </w:r>
      <w:r>
        <w:rPr>
          <w:rFonts w:ascii="Calibri" w:hAnsi="Calibri"/>
          <w:b/>
          <w:color w:val="525866"/>
          <w:sz w:val="22"/>
        </w:rPr>
        <w:t>confirmed ~$100M incremental Florida Medicaid supplemental payment for Q2</w:t>
      </w:r>
      <w:r>
        <w:rPr>
          <w:rFonts w:ascii="Calibri" w:hAnsi="Calibri"/>
          <w:color w:val="525866"/>
          <w:sz w:val="22"/>
        </w:rPr>
        <w:t>, which was disclosed in the Q1 10-Q and confirmed at both the BofA and Goldman Sachs conferences — management's tone remains constructive but cautious on the ACA exchange trajectory.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28)</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Diluted Operating EPS</w:t>
            </w:r>
          </w:p>
        </w:tc>
        <w:tc>
          <w:tcPr>
            <w:tcW w:type="dxa" w:w="1728"/>
          </w:tcPr>
          <w:p>
            <w:r>
              <w:rPr>
                <w:rFonts w:ascii="Calibri" w:hAnsi="Calibri"/>
                <w:sz w:val="22"/>
              </w:rPr>
              <w:t>Reiterated Feb 25 guidance; full range not re-disclosed on call but implied ~$23.52 midpoint (consensus)</w:t>
            </w:r>
          </w:p>
        </w:tc>
        <w:tc>
          <w:tcPr>
            <w:tcW w:type="dxa" w:w="1728"/>
          </w:tcPr>
          <w:p>
            <w:r>
              <w:rPr>
                <w:rFonts w:ascii="Calibri" w:hAnsi="Calibri"/>
                <w:sz w:val="22"/>
              </w:rPr>
              <w:t>—</w:t>
            </w:r>
          </w:p>
        </w:tc>
        <w:tc>
          <w:tcPr>
            <w:tcW w:type="dxa" w:w="1728"/>
          </w:tcPr>
          <w:p>
            <w:r>
              <w:rPr>
                <w:rFonts w:ascii="Calibri" w:hAnsi="Calibri"/>
                <w:sz w:val="22"/>
              </w:rPr>
              <w:t>$23.52</w:t>
            </w:r>
          </w:p>
        </w:tc>
        <w:tc>
          <w:tcPr>
            <w:tcW w:type="dxa" w:w="1728"/>
          </w:tcPr>
          <w:p>
            <w:r>
              <w:rPr>
                <w:rFonts w:ascii="Calibri" w:hAnsi="Calibri"/>
                <w:sz w:val="22"/>
              </w:rPr>
              <w:t>Guidance reiterated unchanged at Q1 call; management expects earnings ramp through year to achieve ~5% core growth</w:t>
            </w:r>
          </w:p>
        </w:tc>
      </w:tr>
      <w:tr>
        <w:tc>
          <w:tcPr>
            <w:tcW w:type="dxa" w:w="1728"/>
          </w:tcPr>
          <w:p>
            <w:r>
              <w:rPr>
                <w:rFonts w:ascii="Calibri" w:hAnsi="Calibri"/>
                <w:sz w:val="22"/>
              </w:rPr>
              <w:t>FY 2026 Net Revenues</w:t>
            </w:r>
          </w:p>
        </w:tc>
        <w:tc>
          <w:tcPr>
            <w:tcW w:type="dxa" w:w="1728"/>
          </w:tcPr>
          <w:p>
            <w:r>
              <w:rPr>
                <w:rFonts w:ascii="Calibri" w:hAnsi="Calibri"/>
                <w:sz w:val="22"/>
              </w:rPr>
              <w:t>Reiterated Feb 25 guidance; consensus ~$18.55B</w:t>
            </w:r>
          </w:p>
        </w:tc>
        <w:tc>
          <w:tcPr>
            <w:tcW w:type="dxa" w:w="1728"/>
          </w:tcPr>
          <w:p>
            <w:r>
              <w:rPr>
                <w:rFonts w:ascii="Calibri" w:hAnsi="Calibri"/>
                <w:sz w:val="22"/>
              </w:rPr>
              <w:t>—</w:t>
            </w:r>
          </w:p>
        </w:tc>
        <w:tc>
          <w:tcPr>
            <w:tcW w:type="dxa" w:w="1728"/>
          </w:tcPr>
          <w:p>
            <w:r>
              <w:rPr>
                <w:rFonts w:ascii="Calibri" w:hAnsi="Calibri"/>
                <w:sz w:val="22"/>
              </w:rPr>
              <w:t>$18.55B</w:t>
            </w:r>
          </w:p>
        </w:tc>
        <w:tc>
          <w:tcPr>
            <w:tcW w:type="dxa" w:w="1728"/>
          </w:tcPr>
          <w:p>
            <w:r>
              <w:rPr>
                <w:rFonts w:ascii="Calibri" w:hAnsi="Calibri"/>
                <w:sz w:val="22"/>
              </w:rPr>
              <w:t>Unchanged; management plans to reevaluate guidance in July alongside Q2 earnings</w:t>
            </w:r>
          </w:p>
        </w:tc>
      </w:tr>
      <w:tr>
        <w:tc>
          <w:tcPr>
            <w:tcW w:type="dxa" w:w="1728"/>
          </w:tcPr>
          <w:p>
            <w:r>
              <w:rPr>
                <w:rFonts w:ascii="Calibri" w:hAnsi="Calibri"/>
                <w:sz w:val="22"/>
              </w:rPr>
              <w:t>ACA Exchange Headwind (FY 2026)</w:t>
            </w:r>
          </w:p>
        </w:tc>
        <w:tc>
          <w:tcPr>
            <w:tcW w:type="dxa" w:w="1728"/>
          </w:tcPr>
          <w:p>
            <w:r>
              <w:rPr>
                <w:rFonts w:ascii="Calibri" w:hAnsi="Calibri"/>
                <w:sz w:val="22"/>
              </w:rPr>
              <w:t>$75M pre-tax impact assumed; exchange admissions down ~25–30% for full year</w:t>
            </w:r>
          </w:p>
        </w:tc>
        <w:tc>
          <w:tcPr>
            <w:tcW w:type="dxa" w:w="1728"/>
          </w:tcPr>
          <w:p>
            <w:r>
              <w:rPr>
                <w:rFonts w:ascii="Calibri" w:hAnsi="Calibri"/>
                <w:sz w:val="22"/>
              </w:rPr>
              <w:t>—</w:t>
            </w:r>
          </w:p>
        </w:tc>
        <w:tc>
          <w:tcPr>
            <w:tcW w:type="dxa" w:w="1728"/>
          </w:tcPr>
          <w:p>
            <w:r>
              <w:rPr>
                <w:rFonts w:ascii="Calibri" w:hAnsi="Calibri"/>
                <w:sz w:val="22"/>
              </w:rPr>
              <w:t>Embedded in consensus</w:t>
            </w:r>
          </w:p>
        </w:tc>
        <w:tc>
          <w:tcPr>
            <w:tcW w:type="dxa" w:w="1728"/>
          </w:tcPr>
          <w:p>
            <w:r>
              <w:rPr>
                <w:rFonts w:ascii="Calibri" w:hAnsi="Calibri"/>
                <w:sz w:val="22"/>
              </w:rPr>
              <w:t>Management noted impact would 'steepen as year progresses'; Q2 will provide more clarity; HCA's $1.0–1.2B full-year impact is a significant negative read-through</w:t>
            </w:r>
          </w:p>
        </w:tc>
      </w:tr>
      <w:tr>
        <w:tc>
          <w:tcPr>
            <w:tcW w:type="dxa" w:w="1728"/>
          </w:tcPr>
          <w:p>
            <w:r>
              <w:rPr>
                <w:rFonts w:ascii="Calibri" w:hAnsi="Calibri"/>
                <w:sz w:val="22"/>
              </w:rPr>
              <w:t>Florida Medicaid Supplemental (FY25 Program)</w:t>
            </w:r>
          </w:p>
        </w:tc>
        <w:tc>
          <w:tcPr>
            <w:tcW w:type="dxa" w:w="1728"/>
          </w:tcPr>
          <w:p>
            <w:r>
              <w:rPr>
                <w:rFonts w:ascii="Calibri" w:hAnsi="Calibri"/>
                <w:sz w:val="22"/>
              </w:rPr>
              <w:t>~$50M estimated benefit at Q1 call; 'could be measurably higher'</w:t>
            </w:r>
          </w:p>
        </w:tc>
        <w:tc>
          <w:tcPr>
            <w:tcW w:type="dxa" w:w="1728"/>
          </w:tcPr>
          <w:p>
            <w:r>
              <w:rPr>
                <w:rFonts w:ascii="Calibri" w:hAnsi="Calibri"/>
                <w:sz w:val="22"/>
              </w:rPr>
              <w:t>~$100M incremental benefit confirmed for Q2 recording (disclosed in Q1 10-Q; confirmed at BofA May 12 and GS June 9 conferences)</w:t>
            </w:r>
          </w:p>
        </w:tc>
        <w:tc>
          <w:tcPr>
            <w:tcW w:type="dxa" w:w="1728"/>
          </w:tcPr>
          <w:p>
            <w:r>
              <w:rPr>
                <w:rFonts w:ascii="Calibri" w:hAnsi="Calibri"/>
                <w:sz w:val="22"/>
              </w:rPr>
              <w:t>Embedded in Q2 consensus</w:t>
            </w:r>
          </w:p>
        </w:tc>
        <w:tc>
          <w:tcPr>
            <w:tcW w:type="dxa" w:w="1728"/>
          </w:tcPr>
          <w:p>
            <w:r>
              <w:rPr>
                <w:rFonts w:ascii="Calibri" w:hAnsi="Calibri"/>
                <w:sz w:val="22"/>
              </w:rPr>
              <w:t>↑ Raised post-Q1 via 10-Q disclosure; $100M incremental vs. prior program; FY26 program still pending approval but expected at similar size</w:t>
            </w:r>
          </w:p>
        </w:tc>
      </w:tr>
      <w:tr>
        <w:tc>
          <w:tcPr>
            <w:tcW w:type="dxa" w:w="1728"/>
          </w:tcPr>
          <w:p>
            <w:r>
              <w:rPr>
                <w:rFonts w:ascii="Calibri" w:hAnsi="Calibri"/>
                <w:sz w:val="22"/>
              </w:rPr>
              <w:t>Behavioral Adj. Patient Day Growth (SS)</w:t>
            </w:r>
          </w:p>
        </w:tc>
        <w:tc>
          <w:tcPr>
            <w:tcW w:type="dxa" w:w="1728"/>
          </w:tcPr>
          <w:p>
            <w:r>
              <w:rPr>
                <w:rFonts w:ascii="Calibri" w:hAnsi="Calibri"/>
                <w:sz w:val="22"/>
              </w:rPr>
              <w:t>2%–3% full-year target; Q1 at 1.6% (weather-impacted)</w:t>
            </w:r>
          </w:p>
        </w:tc>
        <w:tc>
          <w:tcPr>
            <w:tcW w:type="dxa" w:w="1728"/>
          </w:tcPr>
          <w:p>
            <w:r>
              <w:rPr>
                <w:rFonts w:ascii="Calibri" w:hAnsi="Calibri"/>
                <w:sz w:val="22"/>
              </w:rPr>
              <w:t>—</w:t>
            </w:r>
          </w:p>
        </w:tc>
        <w:tc>
          <w:tcPr>
            <w:tcW w:type="dxa" w:w="1728"/>
          </w:tcPr>
          <w:p>
            <w:r>
              <w:rPr>
                <w:rFonts w:ascii="Calibri" w:hAnsi="Calibri"/>
                <w:sz w:val="22"/>
              </w:rPr>
              <w:t>~1.7% Q2 consensus</w:t>
            </w:r>
          </w:p>
        </w:tc>
        <w:tc>
          <w:tcPr>
            <w:tcW w:type="dxa" w:w="1728"/>
          </w:tcPr>
          <w:p>
            <w:r>
              <w:rPr>
                <w:rFonts w:ascii="Calibri" w:hAnsi="Calibri"/>
                <w:sz w:val="22"/>
              </w:rPr>
              <w:t>Headcount growth moderating toward 2%; management expects volumes to improve as year progresses; California staffing regulation effective June 1 adds cost pressure</w:t>
            </w:r>
          </w:p>
        </w:tc>
      </w:tr>
      <w:tr>
        <w:tc>
          <w:tcPr>
            <w:tcW w:type="dxa" w:w="1728"/>
          </w:tcPr>
          <w:p>
            <w:r>
              <w:rPr>
                <w:rFonts w:ascii="Calibri" w:hAnsi="Calibri"/>
                <w:sz w:val="22"/>
              </w:rPr>
              <w:t>Cedar Hill (DC) De Novo</w:t>
            </w:r>
          </w:p>
        </w:tc>
        <w:tc>
          <w:tcPr>
            <w:tcW w:type="dxa" w:w="1728"/>
          </w:tcPr>
          <w:p>
            <w:r>
              <w:rPr>
                <w:rFonts w:ascii="Calibri" w:hAnsi="Calibri"/>
                <w:sz w:val="22"/>
              </w:rPr>
              <w:t>$50M improvement vs. prior year embedded in guidance; targeting full-year breakeven</w:t>
            </w:r>
          </w:p>
        </w:tc>
        <w:tc>
          <w:tcPr>
            <w:tcW w:type="dxa" w:w="1728"/>
          </w:tcPr>
          <w:p>
            <w:r>
              <w:rPr>
                <w:rFonts w:ascii="Calibri" w:hAnsi="Calibri"/>
                <w:sz w:val="22"/>
              </w:rPr>
              <w:t>—</w:t>
            </w:r>
          </w:p>
        </w:tc>
        <w:tc>
          <w:tcPr>
            <w:tcW w:type="dxa" w:w="1728"/>
          </w:tcPr>
          <w:p>
            <w:r>
              <w:rPr>
                <w:rFonts w:ascii="Calibri" w:hAnsi="Calibri"/>
                <w:sz w:val="22"/>
              </w:rPr>
              <w:t>Embedded in guidance</w:t>
            </w:r>
          </w:p>
        </w:tc>
        <w:tc>
          <w:tcPr>
            <w:tcW w:type="dxa" w:w="1728"/>
          </w:tcPr>
          <w:p>
            <w:r>
              <w:rPr>
                <w:rFonts w:ascii="Calibri" w:hAnsi="Calibri"/>
                <w:sz w:val="22"/>
              </w:rPr>
              <w:t>Enters same-store group in Q2; improvement 'more back-end loaded than originally contemplated'; Palm Beach Gardens (opened May 2026) partially offsets improvement near-term</w:t>
            </w:r>
          </w:p>
        </w:tc>
      </w:tr>
      <w:tr>
        <w:tc>
          <w:tcPr>
            <w:tcW w:type="dxa" w:w="1728"/>
          </w:tcPr>
          <w:p>
            <w:r>
              <w:rPr>
                <w:rFonts w:ascii="Calibri" w:hAnsi="Calibri"/>
                <w:sz w:val="22"/>
              </w:rPr>
              <w:t>Talkspace Acquisition</w:t>
            </w:r>
          </w:p>
        </w:tc>
        <w:tc>
          <w:tcPr>
            <w:tcW w:type="dxa" w:w="1728"/>
          </w:tcPr>
          <w:p>
            <w:r>
              <w:rPr>
                <w:rFonts w:ascii="Calibri" w:hAnsi="Calibri"/>
                <w:sz w:val="22"/>
              </w:rPr>
              <w:t>Expected to close Q3 2026; slightly accretive in first 12 months post-close</w:t>
            </w:r>
          </w:p>
        </w:tc>
        <w:tc>
          <w:tcPr>
            <w:tcW w:type="dxa" w:w="1728"/>
          </w:tcPr>
          <w:p>
            <w:r>
              <w:rPr>
                <w:rFonts w:ascii="Calibri" w:hAnsi="Calibri"/>
                <w:sz w:val="22"/>
              </w:rPr>
              <w:t>—</w:t>
            </w:r>
          </w:p>
        </w:tc>
        <w:tc>
          <w:tcPr>
            <w:tcW w:type="dxa" w:w="1728"/>
          </w:tcPr>
          <w:p>
            <w:r>
              <w:rPr>
                <w:rFonts w:ascii="Calibri" w:hAnsi="Calibri"/>
                <w:sz w:val="22"/>
              </w:rPr>
              <w:t>No Q2 impact</w:t>
            </w:r>
          </w:p>
        </w:tc>
        <w:tc>
          <w:tcPr>
            <w:tcW w:type="dxa" w:w="1728"/>
          </w:tcPr>
          <w:p>
            <w:r>
              <w:rPr>
                <w:rFonts w:ascii="Calibri" w:hAnsi="Calibri"/>
                <w:sz w:val="22"/>
              </w:rPr>
              <w:t>On track per GS conference (June 9); $700M delayed draw term loan added July 20 to fund acquisition; no Q2 P&amp;L impact</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for Q2 2026 have been </w:t>
      </w:r>
      <w:r>
        <w:rPr>
          <w:rFonts w:ascii="Calibri" w:hAnsi="Calibri"/>
          <w:b/>
          <w:color w:val="525866"/>
          <w:sz w:val="22"/>
        </w:rPr>
        <w:t>revised modestly higher since the Q1 print</w:t>
      </w:r>
      <w:r>
        <w:rPr>
          <w:rFonts w:ascii="Calibri" w:hAnsi="Calibri"/>
          <w:color w:val="525866"/>
          <w:sz w:val="22"/>
        </w:rPr>
        <w:t xml:space="preserve"> (+3.3% for EPS, +0.8% for revenue), reflecting the confirmed Florida supplemental payment; FY 2026 estimates are essentially flat, suggesting the market is treating the supplemental payment as a pull-forward rather than a structural upgrade — the gap between consensus and guidance is narrow, leaving little cushion if the exchange headwind proves worse than modeled.</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5, 2026)</w:t>
            </w:r>
          </w:p>
        </w:tc>
        <w:tc>
          <w:tcPr>
            <w:tcW w:type="dxa" w:w="1080"/>
            <w:shd w:val="clear" w:color="auto" w:fill="3B4259"/>
          </w:tcPr>
          <w:p>
            <w:r>
              <w:rPr>
                <w:rFonts w:ascii="Calibri" w:hAnsi="Calibri"/>
                <w:b/>
                <w:color w:val="FFFFFF"/>
                <w:sz w:val="22"/>
              </w:rPr>
              <w:t>Current Consensus (Jul 25,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(Last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Diluted Operating EPS — Q2 2026</w:t>
            </w:r>
          </w:p>
        </w:tc>
        <w:tc>
          <w:tcPr>
            <w:tcW w:type="dxa" w:w="1080"/>
          </w:tcPr>
          <w:p>
            <w:r>
              <w:rPr>
                <w:rFonts w:ascii="Calibri" w:hAnsi="Calibri"/>
                <w:sz w:val="22"/>
              </w:rPr>
              <w:t>$5.77</w:t>
            </w:r>
          </w:p>
        </w:tc>
        <w:tc>
          <w:tcPr>
            <w:tcW w:type="dxa" w:w="1080"/>
          </w:tcPr>
          <w:p>
            <w:r>
              <w:rPr>
                <w:rFonts w:ascii="Calibri" w:hAnsi="Calibri"/>
                <w:sz w:val="22"/>
              </w:rPr>
              <w:t>$5.96</w:t>
            </w:r>
          </w:p>
        </w:tc>
        <w:tc>
          <w:tcPr>
            <w:tcW w:type="dxa" w:w="1080"/>
          </w:tcPr>
          <w:p>
            <w:r>
              <w:rPr>
                <w:rFonts w:ascii="Calibri" w:hAnsi="Calibri"/>
                <w:b/>
                <w:color w:val="30A46C"/>
                <w:sz w:val="22"/>
              </w:rPr>
              <w:t>+3.3%</w:t>
            </w:r>
          </w:p>
        </w:tc>
        <w:tc>
          <w:tcPr>
            <w:tcW w:type="dxa" w:w="1080"/>
          </w:tcPr>
          <w:p>
            <w:r>
              <w:rPr>
                <w:rFonts w:ascii="Calibri" w:hAnsi="Calibri"/>
                <w:sz w:val="22"/>
              </w:rPr>
              <w:t>No explicit Q2 guidance</w:t>
            </w:r>
          </w:p>
        </w:tc>
        <w:tc>
          <w:tcPr>
            <w:tcW w:type="dxa" w:w="1080"/>
          </w:tcPr>
          <w:p>
            <w:r>
              <w:rPr>
                <w:rFonts w:ascii="Calibri" w:hAnsi="Calibri"/>
                <w:sz w:val="22"/>
              </w:rPr>
              <w:t>No explicit Q2 guidance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Net Revenues — Q2 2026</w:t>
            </w:r>
          </w:p>
        </w:tc>
        <w:tc>
          <w:tcPr>
            <w:tcW w:type="dxa" w:w="1080"/>
          </w:tcPr>
          <w:p>
            <w:r>
              <w:rPr>
                <w:rFonts w:ascii="Calibri" w:hAnsi="Calibri"/>
                <w:sz w:val="22"/>
              </w:rPr>
              <w:t>$4.55B</w:t>
            </w:r>
          </w:p>
        </w:tc>
        <w:tc>
          <w:tcPr>
            <w:tcW w:type="dxa" w:w="1080"/>
          </w:tcPr>
          <w:p>
            <w:r>
              <w:rPr>
                <w:rFonts w:ascii="Calibri" w:hAnsi="Calibri"/>
                <w:sz w:val="22"/>
              </w:rPr>
              <w:t>$4.59B</w:t>
            </w:r>
          </w:p>
        </w:tc>
        <w:tc>
          <w:tcPr>
            <w:tcW w:type="dxa" w:w="1080"/>
          </w:tcPr>
          <w:p>
            <w:r>
              <w:rPr>
                <w:rFonts w:ascii="Calibri" w:hAnsi="Calibri"/>
                <w:b/>
                <w:color w:val="30A46C"/>
                <w:sz w:val="22"/>
              </w:rPr>
              <w:t>+0.8%</w:t>
            </w:r>
          </w:p>
        </w:tc>
        <w:tc>
          <w:tcPr>
            <w:tcW w:type="dxa" w:w="1080"/>
          </w:tcPr>
          <w:p>
            <w:r>
              <w:rPr>
                <w:rFonts w:ascii="Calibri" w:hAnsi="Calibri"/>
                <w:sz w:val="22"/>
              </w:rPr>
              <w:t>No explicit Q2 guidance</w:t>
            </w:r>
          </w:p>
        </w:tc>
        <w:tc>
          <w:tcPr>
            <w:tcW w:type="dxa" w:w="1080"/>
          </w:tcPr>
          <w:p>
            <w:r>
              <w:rPr>
                <w:rFonts w:ascii="Calibri" w:hAnsi="Calibri"/>
                <w:sz w:val="22"/>
              </w:rPr>
              <w:t>No explicit Q2 guidance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Acute SS Revenue Growth — Q2 2026</w:t>
            </w:r>
          </w:p>
        </w:tc>
        <w:tc>
          <w:tcPr>
            <w:tcW w:type="dxa" w:w="1080"/>
          </w:tcPr>
          <w:p>
            <w:r>
              <w:rPr>
                <w:rFonts w:ascii="Calibri" w:hAnsi="Calibri"/>
                <w:sz w:val="22"/>
              </w:rPr>
              <w:t>6.4%</w:t>
            </w:r>
          </w:p>
        </w:tc>
        <w:tc>
          <w:tcPr>
            <w:tcW w:type="dxa" w:w="1080"/>
          </w:tcPr>
          <w:p>
            <w:r>
              <w:rPr>
                <w:rFonts w:ascii="Calibri" w:hAnsi="Calibri"/>
                <w:sz w:val="22"/>
              </w:rPr>
              <w:t>7.9%</w:t>
            </w:r>
          </w:p>
        </w:tc>
        <w:tc>
          <w:tcPr>
            <w:tcW w:type="dxa" w:w="1080"/>
          </w:tcPr>
          <w:p>
            <w:r>
              <w:rPr>
                <w:rFonts w:ascii="Calibri" w:hAnsi="Calibri"/>
                <w:b/>
                <w:color w:val="30A46C"/>
                <w:sz w:val="22"/>
              </w:rPr>
              <w:t>+150 bps</w:t>
            </w:r>
          </w:p>
        </w:tc>
        <w:tc>
          <w:tcPr>
            <w:tcW w:type="dxa" w:w="1080"/>
          </w:tcPr>
          <w:p>
            <w:r>
              <w:rPr>
                <w:rFonts w:ascii="Calibri" w:hAnsi="Calibri"/>
                <w:sz w:val="22"/>
              </w:rPr>
              <w:t>~6–7% FY target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Above FY target</w:t>
            </w:r>
          </w:p>
        </w:tc>
      </w:tr>
      <w:tr>
        <w:tc>
          <w:tcPr>
            <w:tcW w:type="dxa" w:w="1080"/>
          </w:tcPr>
          <w:p>
            <w:r>
              <w:rPr>
                <w:rFonts w:ascii="Calibri" w:hAnsi="Calibri"/>
                <w:sz w:val="22"/>
              </w:rPr>
              <w:t>Behavioral SS Revenue Growth — Q2 2026</w:t>
            </w:r>
          </w:p>
        </w:tc>
        <w:tc>
          <w:tcPr>
            <w:tcW w:type="dxa" w:w="1080"/>
          </w:tcPr>
          <w:p>
            <w:r>
              <w:rPr>
                <w:rFonts w:ascii="Calibri" w:hAnsi="Calibri"/>
                <w:sz w:val="22"/>
              </w:rPr>
              <w:t>3.2%</w:t>
            </w:r>
          </w:p>
        </w:tc>
        <w:tc>
          <w:tcPr>
            <w:tcW w:type="dxa" w:w="1080"/>
          </w:tcPr>
          <w:p>
            <w:r>
              <w:rPr>
                <w:rFonts w:ascii="Calibri" w:hAnsi="Calibri"/>
                <w:sz w:val="22"/>
              </w:rPr>
              <w:t>3.5%</w:t>
            </w:r>
          </w:p>
        </w:tc>
        <w:tc>
          <w:tcPr>
            <w:tcW w:type="dxa" w:w="1080"/>
          </w:tcPr>
          <w:p>
            <w:r>
              <w:rPr>
                <w:rFonts w:ascii="Calibri" w:hAnsi="Calibri"/>
                <w:b/>
                <w:color w:val="30A46C"/>
                <w:sz w:val="22"/>
              </w:rPr>
              <w:t>+30 bps</w:t>
            </w:r>
          </w:p>
        </w:tc>
        <w:tc>
          <w:tcPr>
            <w:tcW w:type="dxa" w:w="1080"/>
          </w:tcPr>
          <w:p>
            <w:r>
              <w:rPr>
                <w:rFonts w:ascii="Calibri" w:hAnsi="Calibri"/>
                <w:sz w:val="22"/>
              </w:rPr>
              <w:t>~4–5% FY target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Below FY target</w:t>
            </w:r>
          </w:p>
        </w:tc>
      </w:tr>
      <w:tr>
        <w:tc>
          <w:tcPr>
            <w:tcW w:type="dxa" w:w="1080"/>
          </w:tcPr>
          <w:p>
            <w:r>
              <w:rPr>
                <w:rFonts w:ascii="Calibri" w:hAnsi="Calibri"/>
                <w:sz w:val="22"/>
              </w:rPr>
              <w:t>Diluted Operating EPS — FY 2026</w:t>
            </w:r>
          </w:p>
        </w:tc>
        <w:tc>
          <w:tcPr>
            <w:tcW w:type="dxa" w:w="1080"/>
          </w:tcPr>
          <w:p>
            <w:r>
              <w:rPr>
                <w:rFonts w:ascii="Calibri" w:hAnsi="Calibri"/>
                <w:sz w:val="22"/>
              </w:rPr>
              <w:t>$23.46</w:t>
            </w:r>
          </w:p>
        </w:tc>
        <w:tc>
          <w:tcPr>
            <w:tcW w:type="dxa" w:w="1080"/>
          </w:tcPr>
          <w:p>
            <w:r>
              <w:rPr>
                <w:rFonts w:ascii="Calibri" w:hAnsi="Calibri"/>
                <w:sz w:val="22"/>
              </w:rPr>
              <w:t>$23.52</w:t>
            </w:r>
          </w:p>
        </w:tc>
        <w:tc>
          <w:tcPr>
            <w:tcW w:type="dxa" w:w="1080"/>
          </w:tcPr>
          <w:p>
            <w:r>
              <w:rPr>
                <w:rFonts w:ascii="Calibri" w:hAnsi="Calibri"/>
                <w:sz w:val="22"/>
              </w:rPr>
              <w:t>+0.3%</w:t>
            </w:r>
          </w:p>
        </w:tc>
        <w:tc>
          <w:tcPr>
            <w:tcW w:type="dxa" w:w="1080"/>
          </w:tcPr>
          <w:p>
            <w:r>
              <w:rPr>
                <w:rFonts w:ascii="Calibri" w:hAnsi="Calibri"/>
                <w:sz w:val="22"/>
              </w:rPr>
              <w:t>~$23.52 (implied midpoint)</w:t>
            </w:r>
          </w:p>
        </w:tc>
        <w:tc>
          <w:tcPr>
            <w:tcW w:type="dxa" w:w="1080"/>
          </w:tcPr>
          <w:p>
            <w:r>
              <w:rPr>
                <w:rFonts w:ascii="Calibri" w:hAnsi="Calibri"/>
                <w:sz w:val="22"/>
              </w:rPr>
              <w:t>Reiterated unchanged</w:t>
            </w:r>
          </w:p>
        </w:tc>
        <w:tc>
          <w:tcPr>
            <w:tcW w:type="dxa" w:w="1080"/>
          </w:tcPr>
          <w:p>
            <w:r>
              <w:rPr>
                <w:rFonts w:ascii="Calibri" w:hAnsi="Calibri"/>
                <w:sz w:val="22"/>
              </w:rPr>
              <w:t>—</w:t>
            </w:r>
          </w:p>
        </w:tc>
        <w:tc>
          <w:tcPr>
            <w:tcW w:type="dxa" w:w="1080"/>
          </w:tcPr>
          <w:p>
            <w:r>
              <w:rPr>
                <w:rFonts w:ascii="Calibri" w:hAnsi="Calibri"/>
                <w:sz w:val="22"/>
              </w:rPr>
              <w:t>Essentially in-line</w:t>
            </w:r>
          </w:p>
        </w:tc>
      </w:tr>
      <w:tr>
        <w:tc>
          <w:tcPr>
            <w:tcW w:type="dxa" w:w="1080"/>
          </w:tcPr>
          <w:p>
            <w:r>
              <w:rPr>
                <w:rFonts w:ascii="Calibri" w:hAnsi="Calibri"/>
                <w:sz w:val="22"/>
              </w:rPr>
              <w:t>Net Revenues — FY 2026</w:t>
            </w:r>
          </w:p>
        </w:tc>
        <w:tc>
          <w:tcPr>
            <w:tcW w:type="dxa" w:w="1080"/>
          </w:tcPr>
          <w:p>
            <w:r>
              <w:rPr>
                <w:rFonts w:ascii="Calibri" w:hAnsi="Calibri"/>
                <w:sz w:val="22"/>
              </w:rPr>
              <w:t>$18.53B</w:t>
            </w:r>
          </w:p>
        </w:tc>
        <w:tc>
          <w:tcPr>
            <w:tcW w:type="dxa" w:w="1080"/>
          </w:tcPr>
          <w:p>
            <w:r>
              <w:rPr>
                <w:rFonts w:ascii="Calibri" w:hAnsi="Calibri"/>
                <w:sz w:val="22"/>
              </w:rPr>
              <w:t>$18.55B</w:t>
            </w:r>
          </w:p>
        </w:tc>
        <w:tc>
          <w:tcPr>
            <w:tcW w:type="dxa" w:w="1080"/>
          </w:tcPr>
          <w:p>
            <w:r>
              <w:rPr>
                <w:rFonts w:ascii="Calibri" w:hAnsi="Calibri"/>
                <w:sz w:val="22"/>
              </w:rPr>
              <w:t>+0.1%</w:t>
            </w:r>
          </w:p>
        </w:tc>
        <w:tc>
          <w:tcPr>
            <w:tcW w:type="dxa" w:w="1080"/>
          </w:tcPr>
          <w:p>
            <w:r>
              <w:rPr>
                <w:rFonts w:ascii="Calibri" w:hAnsi="Calibri"/>
                <w:sz w:val="22"/>
              </w:rPr>
              <w:t>~$18.55B (consensus)</w:t>
            </w:r>
          </w:p>
        </w:tc>
        <w:tc>
          <w:tcPr>
            <w:tcW w:type="dxa" w:w="1080"/>
          </w:tcPr>
          <w:p>
            <w:r>
              <w:rPr>
                <w:rFonts w:ascii="Calibri" w:hAnsi="Calibri"/>
                <w:sz w:val="22"/>
              </w:rPr>
              <w:t>Reiterated unchanged</w:t>
            </w:r>
          </w:p>
        </w:tc>
        <w:tc>
          <w:tcPr>
            <w:tcW w:type="dxa" w:w="1080"/>
          </w:tcPr>
          <w:p>
            <w:r>
              <w:rPr>
                <w:rFonts w:ascii="Calibri" w:hAnsi="Calibri"/>
                <w:sz w:val="22"/>
              </w:rPr>
              <w:t>—</w:t>
            </w:r>
          </w:p>
        </w:tc>
        <w:tc>
          <w:tcPr>
            <w:tcW w:type="dxa" w:w="1080"/>
          </w:tcPr>
          <w:p>
            <w:r>
              <w:rPr>
                <w:rFonts w:ascii="Calibri" w:hAnsi="Calibri"/>
                <w:sz w:val="22"/>
              </w:rPr>
              <w:t>Essentially in-line</w:t>
            </w:r>
          </w:p>
        </w:tc>
      </w:tr>
    </w:tbl>
    <w:p>
      <w:r>
        <w:rPr>
          <w:rFonts w:ascii="Calibri" w:hAnsi="Calibri"/>
          <w:b/>
          <w:color w:val="525866"/>
          <w:sz w:val="22"/>
        </w:rPr>
        <w:t xml:space="preserve">Commentary: </w:t>
      </w:r>
      <w:r>
        <w:rPr>
          <w:rFonts w:ascii="Calibri" w:hAnsi="Calibri"/>
          <w:color w:val="525866"/>
          <w:sz w:val="22"/>
        </w:rPr>
        <w:t>The Q2 EPS estimate revision (+3.3%) is almost entirely attributable to the confirmed $100M Florida supplemental payment, which was not fully in consensus at the time of the Q1 print. FY estimates are essentially flat, consistent with management's guidance reiteration — the market is not yet pricing in either a guidance raise or cut. The key risk is that HCA's Q2 experience (exchange headwind of $400M EBITDA, nearly double its prior assumption) suggests UHS's $75M full-year exchange assumption may be too conservative, which could force a guidance cut at Q2 that would pressure FY estimates.</w:t>
      </w:r>
    </w:p>
    <w:p>
      <w:r>
        <w:rPr>
          <w:rFonts w:ascii="Calibri" w:hAnsi="Calibri"/>
          <w:i/>
          <w:color w:val="525866"/>
          <w:sz w:val="22"/>
        </w:rPr>
        <w:t xml:space="preserve">Source: </w:t>
      </w:r>
      <w:r>
        <w:rPr>
          <w:rFonts w:ascii="Calibri" w:hAnsi="Calibri"/>
          <w:i/>
          <w:color w:val="525866"/>
          <w:sz w:val="22"/>
        </w:rPr>
        <w:t>Visible Alpha Consensus and Actuals Data (UHS IS, AC, BH segments). As-of date May 5, 2026 used as post-Q1 baseline.</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The ~24% six-month decline is </w:t>
      </w:r>
      <w:r>
        <w:rPr>
          <w:rFonts w:ascii="Calibri" w:hAnsi="Calibri"/>
          <w:b/>
          <w:color w:val="525866"/>
          <w:sz w:val="22"/>
        </w:rPr>
        <w:t>almost entirely multiple compression</w:t>
      </w:r>
      <w:r>
        <w:rPr>
          <w:rFonts w:ascii="Calibri" w:hAnsi="Calibri"/>
          <w:color w:val="525866"/>
          <w:sz w:val="22"/>
        </w:rPr>
        <w:t xml:space="preserve"> (EV/EBITDA contracted from ~6.4x to ~5.1x, a -22% move), not estimate cuts — the market has de-rated UHS on regulatory risk (exchange subsidies, Medicaid work requirements, supplemental payment phasedown) even as estimates have held; the stock now trades at a </w:t>
      </w:r>
      <w:r>
        <w:rPr>
          <w:rFonts w:ascii="Calibri" w:hAnsi="Calibri"/>
          <w:b/>
          <w:color w:val="525866"/>
          <w:sz w:val="22"/>
        </w:rPr>
        <w:t>63% discount to the peer group median</w:t>
      </w:r>
      <w:r>
        <w:rPr>
          <w:rFonts w:ascii="Calibri" w:hAnsi="Calibri"/>
          <w:color w:val="525866"/>
          <w:sz w:val="22"/>
        </w:rPr>
        <w:t>, the widest gap in recent history, suggesting sentiment is the primary driver and any guidance hold could catalyze a re-rating.</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Horizon</w:t>
            </w:r>
          </w:p>
        </w:tc>
        <w:tc>
          <w:tcPr>
            <w:tcW w:type="dxa" w:w="1440"/>
            <w:shd w:val="clear" w:color="auto" w:fill="3B4259"/>
          </w:tcPr>
          <w:p>
            <w:r>
              <w:rPr>
                <w:rFonts w:ascii="Calibri" w:hAnsi="Calibri"/>
                <w:b/>
                <w:color w:val="FFFFFF"/>
                <w:sz w:val="22"/>
              </w:rPr>
              <w:t>UHS Price Return</w:t>
            </w:r>
          </w:p>
        </w:tc>
        <w:tc>
          <w:tcPr>
            <w:tcW w:type="dxa" w:w="1440"/>
            <w:shd w:val="clear" w:color="auto" w:fill="3B4259"/>
          </w:tcPr>
          <w:p>
            <w:r>
              <w:rPr>
                <w:rFonts w:ascii="Calibri" w:hAnsi="Calibri"/>
                <w:b/>
                <w:color w:val="FFFFFF"/>
                <w:sz w:val="22"/>
              </w:rPr>
              <w:t>NTM EV/EBITDA (Start)</w:t>
            </w:r>
          </w:p>
        </w:tc>
        <w:tc>
          <w:tcPr>
            <w:tcW w:type="dxa" w:w="1440"/>
            <w:shd w:val="clear" w:color="auto" w:fill="3B4259"/>
          </w:tcPr>
          <w:p>
            <w:r>
              <w:rPr>
                <w:rFonts w:ascii="Calibri" w:hAnsi="Calibri"/>
                <w:b/>
                <w:color w:val="FFFFFF"/>
                <w:sz w:val="22"/>
              </w:rPr>
              <w:t>NTM EV/EBITDA (Current)</w:t>
            </w:r>
          </w:p>
        </w:tc>
        <w:tc>
          <w:tcPr>
            <w:tcW w:type="dxa" w:w="1440"/>
            <w:shd w:val="clear" w:color="auto" w:fill="3B4259"/>
          </w:tcPr>
          <w:p>
            <w:r>
              <w:rPr>
                <w:rFonts w:ascii="Calibri" w:hAnsi="Calibri"/>
                <w:b/>
                <w:color w:val="FFFFFF"/>
                <w:sz w:val="22"/>
              </w:rPr>
              <w:t>Multiple Δ</w:t>
            </w:r>
          </w:p>
        </w:tc>
        <w:tc>
          <w:tcPr>
            <w:tcW w:type="dxa" w:w="1440"/>
            <w:shd w:val="clear" w:color="auto" w:fill="3B4259"/>
          </w:tcPr>
          <w:p>
            <w:r>
              <w:rPr>
                <w:rFonts w:ascii="Calibri" w:hAnsi="Calibri"/>
                <w:b/>
                <w:color w:val="FFFFFF"/>
                <w:sz w:val="22"/>
              </w:rPr>
              <w:t>Driver</w:t>
            </w:r>
          </w:p>
        </w:tc>
      </w:tr>
      <w:tr>
        <w:tc>
          <w:tcPr>
            <w:tcW w:type="dxa" w:w="1440"/>
          </w:tcPr>
          <w:p>
            <w:r>
              <w:rPr>
                <w:rFonts w:ascii="Calibri" w:hAnsi="Calibri"/>
                <w:sz w:val="22"/>
              </w:rPr>
              <w:t>1 Month</w:t>
            </w:r>
          </w:p>
        </w:tc>
        <w:tc>
          <w:tcPr>
            <w:tcW w:type="dxa" w:w="1440"/>
          </w:tcPr>
          <w:p>
            <w:r>
              <w:rPr>
                <w:rFonts w:ascii="Calibri" w:hAnsi="Calibri"/>
                <w:sz w:val="22"/>
              </w:rPr>
              <w:t>+7.1%</w:t>
            </w:r>
          </w:p>
        </w:tc>
        <w:tc>
          <w:tcPr>
            <w:tcW w:type="dxa" w:w="1440"/>
          </w:tcPr>
          <w:p>
            <w:r>
              <w:rPr>
                <w:rFonts w:ascii="Calibri" w:hAnsi="Calibri"/>
                <w:sz w:val="22"/>
              </w:rPr>
              <w:t>~4.9x</w:t>
            </w:r>
          </w:p>
        </w:tc>
        <w:tc>
          <w:tcPr>
            <w:tcW w:type="dxa" w:w="1440"/>
          </w:tcPr>
          <w:p>
            <w:r>
              <w:rPr>
                <w:rFonts w:ascii="Calibri" w:hAnsi="Calibri"/>
                <w:sz w:val="22"/>
              </w:rPr>
              <w:t>~5.1x</w:t>
            </w:r>
          </w:p>
        </w:tc>
        <w:tc>
          <w:tcPr>
            <w:tcW w:type="dxa" w:w="1440"/>
          </w:tcPr>
          <w:p>
            <w:r>
              <w:rPr>
                <w:rFonts w:ascii="Calibri" w:hAnsi="Calibri"/>
                <w:sz w:val="22"/>
              </w:rPr>
              <w:t>+2.0%</w:t>
            </w:r>
          </w:p>
        </w:tc>
        <w:tc>
          <w:tcPr>
            <w:tcW w:type="dxa" w:w="1440"/>
          </w:tcPr>
          <w:p>
            <w:r>
              <w:rPr>
                <w:rFonts w:ascii="Calibri" w:hAnsi="Calibri"/>
                <w:sz w:val="22"/>
              </w:rPr>
              <w:t>Modest re-rating; THC beat-and-raise positive read-through</w:t>
            </w:r>
          </w:p>
        </w:tc>
      </w:tr>
      <w:tr>
        <w:tc>
          <w:tcPr>
            <w:tcW w:type="dxa" w:w="1440"/>
          </w:tcPr>
          <w:p>
            <w:r>
              <w:rPr>
                <w:rFonts w:ascii="Calibri" w:hAnsi="Calibri"/>
                <w:sz w:val="22"/>
              </w:rPr>
              <w:t>3 Months</w:t>
            </w:r>
          </w:p>
        </w:tc>
        <w:tc>
          <w:tcPr>
            <w:tcW w:type="dxa" w:w="1440"/>
          </w:tcPr>
          <w:p>
            <w:r>
              <w:rPr>
                <w:rFonts w:ascii="Calibri" w:hAnsi="Calibri"/>
                <w:sz w:val="22"/>
              </w:rPr>
              <w:t>-14.0%</w:t>
            </w:r>
          </w:p>
        </w:tc>
        <w:tc>
          <w:tcPr>
            <w:tcW w:type="dxa" w:w="1440"/>
          </w:tcPr>
          <w:p>
            <w:r>
              <w:rPr>
                <w:rFonts w:ascii="Calibri" w:hAnsi="Calibri"/>
                <w:sz w:val="22"/>
              </w:rPr>
              <w:t>~5.7x</w:t>
            </w:r>
          </w:p>
        </w:tc>
        <w:tc>
          <w:tcPr>
            <w:tcW w:type="dxa" w:w="1440"/>
          </w:tcPr>
          <w:p>
            <w:r>
              <w:rPr>
                <w:rFonts w:ascii="Calibri" w:hAnsi="Calibri"/>
                <w:sz w:val="22"/>
              </w:rPr>
              <w:t>~5.1x</w:t>
            </w:r>
          </w:p>
        </w:tc>
        <w:tc>
          <w:tcPr>
            <w:tcW w:type="dxa" w:w="1440"/>
          </w:tcPr>
          <w:p>
            <w:r>
              <w:rPr>
                <w:rFonts w:ascii="Calibri" w:hAnsi="Calibri"/>
                <w:sz w:val="22"/>
              </w:rPr>
              <w:t>-12.4%</w:t>
            </w:r>
          </w:p>
        </w:tc>
        <w:tc>
          <w:tcPr>
            <w:tcW w:type="dxa" w:w="1440"/>
          </w:tcPr>
          <w:p>
            <w:r>
              <w:rPr>
                <w:rFonts w:ascii="Calibri" w:hAnsi="Calibri"/>
                <w:sz w:val="22"/>
              </w:rPr>
              <w:t>Multiple compression dominant; HCA guidance cut, exchange fears</w:t>
            </w:r>
          </w:p>
        </w:tc>
      </w:tr>
      <w:tr>
        <w:tc>
          <w:tcPr>
            <w:tcW w:type="dxa" w:w="1440"/>
          </w:tcPr>
          <w:p>
            <w:r>
              <w:rPr>
                <w:rFonts w:ascii="Calibri" w:hAnsi="Calibri"/>
                <w:sz w:val="22"/>
              </w:rPr>
              <w:t>6 Months</w:t>
            </w:r>
          </w:p>
        </w:tc>
        <w:tc>
          <w:tcPr>
            <w:tcW w:type="dxa" w:w="1440"/>
          </w:tcPr>
          <w:p>
            <w:r>
              <w:rPr>
                <w:rFonts w:ascii="Calibri" w:hAnsi="Calibri"/>
                <w:sz w:val="22"/>
              </w:rPr>
              <w:t>-24.3%</w:t>
            </w:r>
          </w:p>
        </w:tc>
        <w:tc>
          <w:tcPr>
            <w:tcW w:type="dxa" w:w="1440"/>
          </w:tcPr>
          <w:p>
            <w:r>
              <w:rPr>
                <w:rFonts w:ascii="Calibri" w:hAnsi="Calibri"/>
                <w:sz w:val="22"/>
              </w:rPr>
              <w:t>~6.4x</w:t>
            </w:r>
          </w:p>
        </w:tc>
        <w:tc>
          <w:tcPr>
            <w:tcW w:type="dxa" w:w="1440"/>
          </w:tcPr>
          <w:p>
            <w:r>
              <w:rPr>
                <w:rFonts w:ascii="Calibri" w:hAnsi="Calibri"/>
                <w:sz w:val="22"/>
              </w:rPr>
              <w:t>~5.1x</w:t>
            </w:r>
          </w:p>
        </w:tc>
        <w:tc>
          <w:tcPr>
            <w:tcW w:type="dxa" w:w="1440"/>
          </w:tcPr>
          <w:p>
            <w:r>
              <w:rPr>
                <w:rFonts w:ascii="Calibri" w:hAnsi="Calibri"/>
                <w:sz w:val="22"/>
              </w:rPr>
              <w:t>-22.1%</w:t>
            </w:r>
          </w:p>
        </w:tc>
        <w:tc>
          <w:tcPr>
            <w:tcW w:type="dxa" w:w="1440"/>
          </w:tcPr>
          <w:p>
            <w:r>
              <w:rPr>
                <w:rFonts w:ascii="Calibri" w:hAnsi="Calibri"/>
                <w:sz w:val="22"/>
              </w:rPr>
              <w:t>Almost entirely multiple compression; estimates flat</w:t>
            </w:r>
          </w:p>
        </w:tc>
      </w:tr>
      <w:tr>
        <w:tc>
          <w:tcPr>
            <w:tcW w:type="dxa" w:w="1440"/>
          </w:tcPr>
          <w:p>
            <w:r>
              <w:rPr>
                <w:rFonts w:ascii="Calibri" w:hAnsi="Calibri"/>
                <w:sz w:val="22"/>
              </w:rPr>
              <w:t>12 Months</w:t>
            </w:r>
          </w:p>
        </w:tc>
        <w:tc>
          <w:tcPr>
            <w:tcW w:type="dxa" w:w="1440"/>
          </w:tcPr>
          <w:p>
            <w:r>
              <w:rPr>
                <w:rFonts w:ascii="Calibri" w:hAnsi="Calibri"/>
                <w:sz w:val="22"/>
              </w:rPr>
              <w:t>-5.5%</w:t>
            </w:r>
          </w:p>
        </w:tc>
        <w:tc>
          <w:tcPr>
            <w:tcW w:type="dxa" w:w="1440"/>
          </w:tcPr>
          <w:p>
            <w:r>
              <w:rPr>
                <w:rFonts w:ascii="Calibri" w:hAnsi="Calibri"/>
                <w:sz w:val="22"/>
              </w:rPr>
              <w:t>~6.0x</w:t>
            </w:r>
          </w:p>
        </w:tc>
        <w:tc>
          <w:tcPr>
            <w:tcW w:type="dxa" w:w="1440"/>
          </w:tcPr>
          <w:p>
            <w:r>
              <w:rPr>
                <w:rFonts w:ascii="Calibri" w:hAnsi="Calibri"/>
                <w:sz w:val="22"/>
              </w:rPr>
              <w:t>~5.1x</w:t>
            </w:r>
          </w:p>
        </w:tc>
        <w:tc>
          <w:tcPr>
            <w:tcW w:type="dxa" w:w="1440"/>
          </w:tcPr>
          <w:p>
            <w:r>
              <w:rPr>
                <w:rFonts w:ascii="Calibri" w:hAnsi="Calibri"/>
                <w:sz w:val="22"/>
              </w:rPr>
              <w:t>-16.5%</w:t>
            </w:r>
          </w:p>
        </w:tc>
        <w:tc>
          <w:tcPr>
            <w:tcW w:type="dxa" w:w="1440"/>
          </w:tcPr>
          <w:p>
            <w:r>
              <w:rPr>
                <w:rFonts w:ascii="Calibri" w:hAnsi="Calibri"/>
                <w:sz w:val="22"/>
              </w:rPr>
              <w:t>Multiple compression partially offset by EPS estimate growth</w:t>
            </w:r>
          </w:p>
        </w:tc>
      </w:tr>
    </w:tbl>
    <w:p>
      <w:pPr>
        <w:pStyle w:val="Heading3"/>
      </w:pPr>
      <w:r>
        <w:rPr>
          <w:rFonts w:ascii="Calibri" w:hAnsi="Calibri"/>
          <w:b/>
          <w:color w:val="3B4259"/>
          <w:sz w:val="24"/>
        </w:rPr>
        <w:t>Relative Valuation vs. Peer Group (NTM EV/EBITDA)</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Ticker</w:t>
            </w:r>
          </w:p>
        </w:tc>
        <w:tc>
          <w:tcPr>
            <w:tcW w:type="dxa" w:w="1728"/>
            <w:shd w:val="clear" w:color="auto" w:fill="3B4259"/>
          </w:tcPr>
          <w:p>
            <w:r>
              <w:rPr>
                <w:rFonts w:ascii="Calibri" w:hAnsi="Calibri"/>
                <w:b/>
                <w:color w:val="FFFFFF"/>
                <w:sz w:val="22"/>
              </w:rPr>
              <w:t>NTM EV/EBITDA</w:t>
            </w:r>
          </w:p>
        </w:tc>
        <w:tc>
          <w:tcPr>
            <w:tcW w:type="dxa" w:w="1728"/>
            <w:shd w:val="clear" w:color="auto" w:fill="3B4259"/>
          </w:tcPr>
          <w:p>
            <w:r>
              <w:rPr>
                <w:rFonts w:ascii="Calibri" w:hAnsi="Calibri"/>
                <w:b/>
                <w:color w:val="FFFFFF"/>
                <w:sz w:val="22"/>
              </w:rPr>
              <w:t>vs. Peer Group (%)</w:t>
            </w:r>
          </w:p>
        </w:tc>
        <w:tc>
          <w:tcPr>
            <w:tcW w:type="dxa" w:w="1728"/>
            <w:shd w:val="clear" w:color="auto" w:fill="3B4259"/>
          </w:tcPr>
          <w:p>
            <w:r>
              <w:rPr>
                <w:rFonts w:ascii="Calibri" w:hAnsi="Calibri"/>
                <w:b/>
                <w:color w:val="FFFFFF"/>
                <w:sz w:val="22"/>
              </w:rPr>
              <w:t>Multiple Δ (3M)</w:t>
            </w:r>
          </w:p>
        </w:tc>
        <w:tc>
          <w:tcPr>
            <w:tcW w:type="dxa" w:w="1728"/>
            <w:shd w:val="clear" w:color="auto" w:fill="3B4259"/>
          </w:tcPr>
          <w:p>
            <w:r>
              <w:rPr>
                <w:rFonts w:ascii="Calibri" w:hAnsi="Calibri"/>
                <w:b/>
                <w:color w:val="FFFFFF"/>
                <w:sz w:val="22"/>
              </w:rPr>
              <w:t>Multiple Δ (1Y)</w:t>
            </w:r>
          </w:p>
        </w:tc>
      </w:tr>
      <w:tr>
        <w:tc>
          <w:tcPr>
            <w:tcW w:type="dxa" w:w="1728"/>
          </w:tcPr>
          <w:p>
            <w:r>
              <w:rPr>
                <w:rFonts w:ascii="Calibri" w:hAnsi="Calibri"/>
                <w:b/>
                <w:sz w:val="22"/>
              </w:rPr>
              <w:t>UHS</w:t>
            </w:r>
          </w:p>
        </w:tc>
        <w:tc>
          <w:tcPr>
            <w:tcW w:type="dxa" w:w="1728"/>
          </w:tcPr>
          <w:p>
            <w:r>
              <w:rPr>
                <w:rFonts w:ascii="Calibri" w:hAnsi="Calibri"/>
                <w:b/>
                <w:sz w:val="22"/>
              </w:rPr>
              <w:t>5.1x</w:t>
            </w:r>
          </w:p>
        </w:tc>
        <w:tc>
          <w:tcPr>
            <w:tcW w:type="dxa" w:w="1728"/>
          </w:tcPr>
          <w:p>
            <w:r>
              <w:rPr>
                <w:rFonts w:ascii="Calibri" w:hAnsi="Calibri"/>
                <w:b/>
                <w:color w:val="E5484D"/>
                <w:sz w:val="22"/>
              </w:rPr>
              <w:t>-63%</w:t>
            </w:r>
          </w:p>
        </w:tc>
        <w:tc>
          <w:tcPr>
            <w:tcW w:type="dxa" w:w="1728"/>
          </w:tcPr>
          <w:p>
            <w:r>
              <w:rPr>
                <w:rFonts w:ascii="Calibri" w:hAnsi="Calibri"/>
                <w:sz w:val="22"/>
              </w:rPr>
              <w:t>-8.4%</w:t>
            </w:r>
          </w:p>
        </w:tc>
        <w:tc>
          <w:tcPr>
            <w:tcW w:type="dxa" w:w="1728"/>
          </w:tcPr>
          <w:p>
            <w:r>
              <w:rPr>
                <w:rFonts w:ascii="Calibri" w:hAnsi="Calibri"/>
                <w:sz w:val="22"/>
              </w:rPr>
              <w:t>-12.2%</w:t>
            </w:r>
          </w:p>
        </w:tc>
      </w:tr>
      <w:tr>
        <w:tc>
          <w:tcPr>
            <w:tcW w:type="dxa" w:w="1728"/>
          </w:tcPr>
          <w:p>
            <w:r>
              <w:rPr>
                <w:rFonts w:ascii="Calibri" w:hAnsi="Calibri"/>
                <w:sz w:val="22"/>
              </w:rPr>
              <w:t>HCA</w:t>
            </w:r>
          </w:p>
        </w:tc>
        <w:tc>
          <w:tcPr>
            <w:tcW w:type="dxa" w:w="1728"/>
          </w:tcPr>
          <w:p>
            <w:r>
              <w:rPr>
                <w:rFonts w:ascii="Calibri" w:hAnsi="Calibri"/>
                <w:sz w:val="22"/>
              </w:rPr>
              <w:t>8.6x</w:t>
            </w:r>
          </w:p>
        </w:tc>
        <w:tc>
          <w:tcPr>
            <w:tcW w:type="dxa" w:w="1728"/>
          </w:tcPr>
          <w:p>
            <w:r>
              <w:rPr>
                <w:rFonts w:ascii="Calibri" w:hAnsi="Calibri"/>
                <w:sz w:val="22"/>
              </w:rPr>
              <w:t>-37%</w:t>
            </w:r>
          </w:p>
        </w:tc>
        <w:tc>
          <w:tcPr>
            <w:tcW w:type="dxa" w:w="1728"/>
          </w:tcPr>
          <w:p>
            <w:r>
              <w:rPr>
                <w:rFonts w:ascii="Calibri" w:hAnsi="Calibri"/>
                <w:sz w:val="22"/>
              </w:rPr>
              <w:t>-5.7%</w:t>
            </w:r>
          </w:p>
        </w:tc>
        <w:tc>
          <w:tcPr>
            <w:tcW w:type="dxa" w:w="1728"/>
          </w:tcPr>
          <w:p>
            <w:r>
              <w:rPr>
                <w:rFonts w:ascii="Calibri" w:hAnsi="Calibri"/>
                <w:sz w:val="22"/>
              </w:rPr>
              <w:t>+3.1%</w:t>
            </w:r>
          </w:p>
        </w:tc>
      </w:tr>
      <w:tr>
        <w:tc>
          <w:tcPr>
            <w:tcW w:type="dxa" w:w="1728"/>
          </w:tcPr>
          <w:p>
            <w:r>
              <w:rPr>
                <w:rFonts w:ascii="Calibri" w:hAnsi="Calibri"/>
                <w:sz w:val="22"/>
              </w:rPr>
              <w:t>THC</w:t>
            </w:r>
          </w:p>
        </w:tc>
        <w:tc>
          <w:tcPr>
            <w:tcW w:type="dxa" w:w="1728"/>
          </w:tcPr>
          <w:p>
            <w:r>
              <w:rPr>
                <w:rFonts w:ascii="Calibri" w:hAnsi="Calibri"/>
                <w:sz w:val="22"/>
              </w:rPr>
              <w:t>7.2x</w:t>
            </w:r>
          </w:p>
        </w:tc>
        <w:tc>
          <w:tcPr>
            <w:tcW w:type="dxa" w:w="1728"/>
          </w:tcPr>
          <w:p>
            <w:r>
              <w:rPr>
                <w:rFonts w:ascii="Calibri" w:hAnsi="Calibri"/>
                <w:sz w:val="22"/>
              </w:rPr>
              <w:t>-47%</w:t>
            </w:r>
          </w:p>
        </w:tc>
        <w:tc>
          <w:tcPr>
            <w:tcW w:type="dxa" w:w="1728"/>
          </w:tcPr>
          <w:p>
            <w:r>
              <w:rPr>
                <w:rFonts w:ascii="Calibri" w:hAnsi="Calibri"/>
                <w:sz w:val="22"/>
              </w:rPr>
              <w:t>+9.3%</w:t>
            </w:r>
          </w:p>
        </w:tc>
        <w:tc>
          <w:tcPr>
            <w:tcW w:type="dxa" w:w="1728"/>
          </w:tcPr>
          <w:p>
            <w:r>
              <w:rPr>
                <w:rFonts w:ascii="Calibri" w:hAnsi="Calibri"/>
                <w:sz w:val="22"/>
              </w:rPr>
              <w:t>+12.1%</w:t>
            </w:r>
          </w:p>
        </w:tc>
      </w:tr>
      <w:tr>
        <w:tc>
          <w:tcPr>
            <w:tcW w:type="dxa" w:w="1728"/>
          </w:tcPr>
          <w:p>
            <w:r>
              <w:rPr>
                <w:rFonts w:ascii="Calibri" w:hAnsi="Calibri"/>
                <w:sz w:val="22"/>
              </w:rPr>
              <w:t>EHC</w:t>
            </w:r>
          </w:p>
        </w:tc>
        <w:tc>
          <w:tcPr>
            <w:tcW w:type="dxa" w:w="1728"/>
          </w:tcPr>
          <w:p>
            <w:r>
              <w:rPr>
                <w:rFonts w:ascii="Calibri" w:hAnsi="Calibri"/>
                <w:sz w:val="22"/>
              </w:rPr>
              <w:t>10.1x</w:t>
            </w:r>
          </w:p>
        </w:tc>
        <w:tc>
          <w:tcPr>
            <w:tcW w:type="dxa" w:w="1728"/>
          </w:tcPr>
          <w:p>
            <w:r>
              <w:rPr>
                <w:rFonts w:ascii="Calibri" w:hAnsi="Calibri"/>
                <w:sz w:val="22"/>
              </w:rPr>
              <w:t>-25%</w:t>
            </w:r>
          </w:p>
        </w:tc>
        <w:tc>
          <w:tcPr>
            <w:tcW w:type="dxa" w:w="1728"/>
          </w:tcPr>
          <w:p>
            <w:r>
              <w:rPr>
                <w:rFonts w:ascii="Calibri" w:hAnsi="Calibri"/>
                <w:sz w:val="22"/>
              </w:rPr>
              <w:t>+6.0%</w:t>
            </w:r>
          </w:p>
        </w:tc>
        <w:tc>
          <w:tcPr>
            <w:tcW w:type="dxa" w:w="1728"/>
          </w:tcPr>
          <w:p>
            <w:r>
              <w:rPr>
                <w:rFonts w:ascii="Calibri" w:hAnsi="Calibri"/>
                <w:sz w:val="22"/>
              </w:rPr>
              <w:t>-8.4%</w:t>
            </w:r>
          </w:p>
        </w:tc>
      </w:tr>
      <w:tr>
        <w:tc>
          <w:tcPr>
            <w:tcW w:type="dxa" w:w="1728"/>
          </w:tcPr>
          <w:p>
            <w:r>
              <w:rPr>
                <w:rFonts w:ascii="Calibri" w:hAnsi="Calibri"/>
                <w:sz w:val="22"/>
              </w:rPr>
              <w:t>ACHC</w:t>
            </w:r>
          </w:p>
        </w:tc>
        <w:tc>
          <w:tcPr>
            <w:tcW w:type="dxa" w:w="1728"/>
          </w:tcPr>
          <w:p>
            <w:r>
              <w:rPr>
                <w:rFonts w:ascii="Calibri" w:hAnsi="Calibri"/>
                <w:sz w:val="22"/>
              </w:rPr>
              <w:t>9.2x</w:t>
            </w:r>
          </w:p>
        </w:tc>
        <w:tc>
          <w:tcPr>
            <w:tcW w:type="dxa" w:w="1728"/>
          </w:tcPr>
          <w:p>
            <w:r>
              <w:rPr>
                <w:rFonts w:ascii="Calibri" w:hAnsi="Calibri"/>
                <w:sz w:val="22"/>
              </w:rPr>
              <w:t>-32%</w:t>
            </w:r>
          </w:p>
        </w:tc>
        <w:tc>
          <w:tcPr>
            <w:tcW w:type="dxa" w:w="1728"/>
          </w:tcPr>
          <w:p>
            <w:r>
              <w:rPr>
                <w:rFonts w:ascii="Calibri" w:hAnsi="Calibri"/>
                <w:sz w:val="22"/>
              </w:rPr>
              <w:t>+9.9%</w:t>
            </w:r>
          </w:p>
        </w:tc>
        <w:tc>
          <w:tcPr>
            <w:tcW w:type="dxa" w:w="1728"/>
          </w:tcPr>
          <w:p>
            <w:r>
              <w:rPr>
                <w:rFonts w:ascii="Calibri" w:hAnsi="Calibri"/>
                <w:sz w:val="22"/>
              </w:rPr>
              <w:t>+57.7%</w:t>
            </w:r>
          </w:p>
        </w:tc>
      </w:tr>
      <w:tr>
        <w:tc>
          <w:tcPr>
            <w:tcW w:type="dxa" w:w="1728"/>
          </w:tcPr>
          <w:p>
            <w:r>
              <w:rPr>
                <w:rFonts w:ascii="Calibri" w:hAnsi="Calibri"/>
                <w:sz w:val="22"/>
              </w:rPr>
              <w:t>Peer Group Median (approx.)</w:t>
            </w:r>
          </w:p>
        </w:tc>
        <w:tc>
          <w:tcPr>
            <w:tcW w:type="dxa" w:w="1728"/>
          </w:tcPr>
          <w:p>
            <w:r>
              <w:rPr>
                <w:rFonts w:ascii="Calibri" w:hAnsi="Calibri"/>
                <w:sz w:val="22"/>
              </w:rPr>
              <w:t>~10.0x</w:t>
            </w:r>
          </w:p>
        </w:tc>
        <w:tc>
          <w:tcPr>
            <w:tcW w:type="dxa" w:w="1728"/>
          </w:tcPr>
          <w:p>
            <w:r>
              <w:rPr>
                <w:rFonts w:ascii="Calibri" w:hAnsi="Calibri"/>
                <w:sz w:val="22"/>
              </w:rPr>
              <w:t>—</w:t>
            </w:r>
          </w:p>
        </w:tc>
        <w:tc>
          <w:tcPr>
            <w:tcW w:type="dxa" w:w="1728"/>
          </w:tcPr>
          <w:p>
            <w:r>
              <w:rPr>
                <w:rFonts w:ascii="Calibri" w:hAnsi="Calibri"/>
                <w:sz w:val="22"/>
              </w:rPr>
              <w:t>—</w:t>
            </w:r>
          </w:p>
        </w:tc>
        <w:tc>
          <w:tcPr>
            <w:tcW w:type="dxa" w:w="1728"/>
          </w:tcPr>
          <w:p>
            <w:r>
              <w:rPr>
                <w:rFonts w:ascii="Calibri" w:hAnsi="Calibri"/>
                <w:sz w:val="22"/>
              </w:rPr>
              <w:t>—</w:t>
            </w:r>
          </w:p>
        </w:tc>
      </w:tr>
    </w:tbl>
    <w:p>
      <w:r>
        <w:rPr>
          <w:rFonts w:ascii="Calibri" w:hAnsi="Calibri"/>
          <w:i/>
          <w:color w:val="525866"/>
          <w:sz w:val="22"/>
        </w:rPr>
        <w:t xml:space="preserve">Source: </w:t>
      </w:r>
      <w:r>
        <w:rPr>
          <w:rFonts w:ascii="Calibri" w:hAnsi="Calibri"/>
          <w:i/>
          <w:color w:val="525866"/>
          <w:sz w:val="22"/>
        </w:rPr>
        <w:t>Implied stock performance decomposition data (NTM EV/EBITDA multiples as of July 24, 2026). Peer group: Medical Care Facilities (HCA, THC, DVA, EHC, ENSG, ACHC, and others).</w:t>
      </w:r>
    </w:p>
    <w:p>
      <w:r>
        <w:br w:type="page"/>
      </w:r>
    </w:p>
    <w:p>
      <w:pPr>
        <w:pStyle w:val="Heading2"/>
      </w:pPr>
      <w:r>
        <w:rPr>
          <w:rFonts w:ascii="Calibri" w:hAnsi="Calibri"/>
          <w:b/>
          <w:color w:val="3B4259"/>
          <w:sz w:val="28"/>
        </w:rPr>
        <w:t>6. Material News &amp; Developments (Since Q1 2026 Earnings, April 28, 2026)</w:t>
      </w:r>
    </w:p>
    <w:p>
      <w:r>
        <w:rPr>
          <w:rFonts w:ascii="Calibri" w:hAnsi="Calibri"/>
          <w:b/>
          <w:color w:val="525866"/>
          <w:sz w:val="22"/>
        </w:rPr>
        <w:t xml:space="preserve">Key Takeaway: </w:t>
      </w:r>
      <w:r>
        <w:rPr>
          <w:rFonts w:ascii="Calibri" w:hAnsi="Calibri"/>
          <w:color w:val="525866"/>
          <w:sz w:val="22"/>
        </w:rPr>
        <w:t xml:space="preserve">The most important development is </w:t>
      </w:r>
      <w:r>
        <w:rPr>
          <w:rFonts w:ascii="Calibri" w:hAnsi="Calibri"/>
          <w:b/>
          <w:color w:val="525866"/>
          <w:sz w:val="22"/>
        </w:rPr>
        <w:t>HCA's July 14 pre-announcement</w:t>
      </w:r>
      <w:r>
        <w:rPr>
          <w:rFonts w:ascii="Calibri" w:hAnsi="Calibri"/>
          <w:color w:val="525866"/>
          <w:sz w:val="22"/>
        </w:rPr>
        <w:t xml:space="preserve"> revealing a far worse-than-expected ACA exchange-to-uninsured conversion — a direct and material negative read-through for UHS's $75M full-year exchange assumption; partially offset by THC's July 23 beat-and-raise, which demonstrated that disciplined cost management can overcome exchange headwinds.</w:t>
      </w:r>
    </w:p>
    <w:p>
      <w:pPr>
        <w:pStyle w:val="ListBullet"/>
        <w:ind w:left="360" w:hanging="360"/>
      </w:pPr>
      <w:r>
        <w:rPr>
          <w:rFonts w:ascii="Calibri" w:hAnsi="Calibri"/>
          <w:b/>
          <w:color w:val="525866"/>
          <w:sz w:val="22"/>
        </w:rPr>
        <w:t>July 23–24, 2026 — Tenet Healthcare (THC) Q2 2026 Beat-and-Raise:</w:t>
      </w:r>
      <w:r>
        <w:rPr>
          <w:rFonts w:ascii="Calibri" w:hAnsi="Calibri"/>
          <w:color w:val="525866"/>
          <w:sz w:val="22"/>
        </w:rPr>
        <w:t xml:space="preserve"> THC reported Q2 adjusted EPS of $6.12 vs. consensus of $4.26 (+44% beat) and raised full-year EPS guidance to $20.30–$21.69 from $16.38–$18.68. THC cited strong same-store revenue growth and disciplined expense management. THC also announced a $2B buyback increase. Stock surged ~23%. </w:t>
      </w:r>
      <w:r>
        <w:rPr>
          <w:rFonts w:ascii="Calibri" w:hAnsi="Calibri"/>
          <w:i/>
          <w:color w:val="525866"/>
          <w:sz w:val="22"/>
        </w:rPr>
        <w:t>Implication:</w:t>
      </w:r>
      <w:r>
        <w:rPr>
          <w:rFonts w:ascii="Calibri" w:hAnsi="Calibri"/>
          <w:color w:val="525866"/>
          <w:sz w:val="22"/>
        </w:rPr>
        <w:t xml:space="preserve"> Positive read-through for UHS — demonstrates that hospital operators with strong cost discipline can absorb exchange headwinds and still beat; raises the bar for UHS's own cost management narrative.</w:t>
      </w:r>
    </w:p>
    <w:p>
      <w:pPr>
        <w:pStyle w:val="ListBullet"/>
        <w:ind w:left="360" w:hanging="360"/>
      </w:pPr>
      <w:r>
        <w:rPr>
          <w:rFonts w:ascii="Calibri" w:hAnsi="Calibri"/>
          <w:b/>
          <w:color w:val="525866"/>
          <w:sz w:val="22"/>
        </w:rPr>
        <w:t>July 21, 2026 — UHS Adds $700M Delayed Draw Term Loan (8-K):</w:t>
      </w:r>
      <w:r>
        <w:rPr>
          <w:rFonts w:ascii="Calibri" w:hAnsi="Calibri"/>
          <w:color w:val="525866"/>
          <w:sz w:val="22"/>
        </w:rPr>
        <w:t xml:space="preserve"> UHS entered into a Twelfth Amendment to its Credit Agreement, adding a $700M delayed draw tranche A term loan facility available through September 30, 2026, maturing 364 days after funding. Proceeds intended for general corporate purposes including refinancing and Talkspace acquisition funding. </w:t>
      </w:r>
      <w:r>
        <w:rPr>
          <w:rFonts w:ascii="Calibri" w:hAnsi="Calibri"/>
          <w:i/>
          <w:color w:val="525866"/>
          <w:sz w:val="22"/>
        </w:rPr>
        <w:t>Implication:</w:t>
      </w:r>
      <w:r>
        <w:rPr>
          <w:rFonts w:ascii="Calibri" w:hAnsi="Calibri"/>
          <w:color w:val="525866"/>
          <w:sz w:val="22"/>
        </w:rPr>
        <w:t xml:space="preserve"> Confirms Talkspace close is imminent (Q3 2026); leverage expected to remain in the low 2x range post-close, within the 2–3x long-term target.</w:t>
      </w:r>
    </w:p>
    <w:p>
      <w:pPr>
        <w:pStyle w:val="ListBullet"/>
        <w:ind w:left="360" w:hanging="360"/>
      </w:pPr>
      <w:r>
        <w:rPr>
          <w:rFonts w:ascii="Calibri" w:hAnsi="Calibri"/>
          <w:b/>
          <w:color w:val="525866"/>
          <w:sz w:val="22"/>
        </w:rPr>
        <w:t>July 14, 2026 — HCA Healthcare Pre-Announcement and Guidance Cut:</w:t>
      </w:r>
      <w:r>
        <w:rPr>
          <w:rFonts w:ascii="Calibri" w:hAnsi="Calibri"/>
          <w:color w:val="525866"/>
          <w:sz w:val="22"/>
        </w:rPr>
        <w:t xml:space="preserve"> HCA pre-announced Q2 revenue of $20.23B (above consensus of $19.43B) but cut full-year EPS guidance to $28.70–$30.50 from $29.10–$31.50, citing a $400M Q2 EBITDA headwind from ACA exchange payer-mix shift. Exchange admissions declined 15% YoY; nearly 1-for-1 conversion to uninsured. Full-year exchange impact revised to $1.0–$1.2B from prior $600M–$900M. HCA stock fell ~9.4%. </w:t>
      </w:r>
      <w:r>
        <w:rPr>
          <w:rFonts w:ascii="Calibri" w:hAnsi="Calibri"/>
          <w:i/>
          <w:color w:val="525866"/>
          <w:sz w:val="22"/>
        </w:rPr>
        <w:t>Implication:</w:t>
      </w:r>
      <w:r>
        <w:rPr>
          <w:rFonts w:ascii="Calibri" w:hAnsi="Calibri"/>
          <w:color w:val="525866"/>
          <w:sz w:val="22"/>
        </w:rPr>
        <w:t xml:space="preserve"> Significant negative read-through for UHS — UHS's $75M full-year exchange assumption may be materially understated; management will need to address this directly on the Q2 call.</w:t>
      </w:r>
    </w:p>
    <w:p>
      <w:pPr>
        <w:pStyle w:val="ListBullet"/>
        <w:ind w:left="360" w:hanging="360"/>
      </w:pPr>
      <w:r>
        <w:rPr>
          <w:rFonts w:ascii="Calibri" w:hAnsi="Calibri"/>
          <w:b/>
          <w:color w:val="525866"/>
          <w:sz w:val="22"/>
        </w:rPr>
        <w:t>June 9, 2026 — Goldman Sachs 47th Annual Global Healthcare Conference:</w:t>
      </w:r>
      <w:r>
        <w:rPr>
          <w:rFonts w:ascii="Calibri" w:hAnsi="Calibri"/>
          <w:color w:val="525866"/>
          <w:sz w:val="22"/>
        </w:rPr>
        <w:t xml:space="preserve"> Management confirmed: (1) Talkspace on track to close early Q3; (2) 178 new acute beds added across three existing-hospital projects in Q2; (3) Palm Beach Gardens hospital opened May 2026 (30th hospital); (4) $100M Florida supplemental payment to be recorded in Q2; (5) FY26 Florida program still pending but expected at similar size; (6) AI revenue cycle improvements added ~50 bps to acute revenue per unit in 2025. </w:t>
      </w:r>
      <w:r>
        <w:rPr>
          <w:rFonts w:ascii="Calibri" w:hAnsi="Calibri"/>
          <w:i/>
          <w:color w:val="525866"/>
          <w:sz w:val="22"/>
        </w:rPr>
        <w:t>Implication:</w:t>
      </w:r>
      <w:r>
        <w:rPr>
          <w:rFonts w:ascii="Calibri" w:hAnsi="Calibri"/>
          <w:color w:val="525866"/>
          <w:sz w:val="22"/>
        </w:rPr>
        <w:t xml:space="preserve"> Constructive tone; no guidance changes; confirms Q2 supplemental payment tailwind.</w:t>
      </w:r>
    </w:p>
    <w:p>
      <w:pPr>
        <w:pStyle w:val="ListBullet"/>
        <w:ind w:left="360" w:hanging="360"/>
      </w:pPr>
      <w:r>
        <w:rPr>
          <w:rFonts w:ascii="Calibri" w:hAnsi="Calibri"/>
          <w:b/>
          <w:color w:val="525866"/>
          <w:sz w:val="22"/>
        </w:rPr>
        <w:t>May 12, 2026 — BofA Global Healthcare Conference:</w:t>
      </w:r>
      <w:r>
        <w:rPr>
          <w:rFonts w:ascii="Calibri" w:hAnsi="Calibri"/>
          <w:color w:val="525866"/>
          <w:sz w:val="22"/>
        </w:rPr>
        <w:t xml:space="preserve"> Management disclosed Florida FY25 Medicaid supplemental program formally approved (noted in Q1 10-Q); incremental benefit of $100M to be recorded in Q2. Behavioral headcount growth expected to moderate to ~2% for full year. Management stated it would be 'a little more aggressive in Q2 on share buyback.' </w:t>
      </w:r>
      <w:r>
        <w:rPr>
          <w:rFonts w:ascii="Calibri" w:hAnsi="Calibri"/>
          <w:i/>
          <w:color w:val="525866"/>
          <w:sz w:val="22"/>
        </w:rPr>
        <w:t>Implication:</w:t>
      </w:r>
      <w:r>
        <w:rPr>
          <w:rFonts w:ascii="Calibri" w:hAnsi="Calibri"/>
          <w:color w:val="525866"/>
          <w:sz w:val="22"/>
        </w:rPr>
        <w:t xml:space="preserve"> Confirms the single largest known Q2 earnings driver; buyback acceleration is a modest EPS tailwind.</w:t>
      </w:r>
    </w:p>
    <w:p>
      <w:pPr>
        <w:pStyle w:val="ListBullet"/>
        <w:ind w:left="360" w:hanging="360"/>
      </w:pPr>
      <w:r>
        <w:rPr>
          <w:rFonts w:ascii="Calibri" w:hAnsi="Calibri"/>
          <w:b/>
          <w:color w:val="525866"/>
          <w:sz w:val="22"/>
        </w:rPr>
        <w:t>April 30, 2026 — Laurel Ridge Treatment Center Medicare/Medicaid Termination:</w:t>
      </w:r>
      <w:r>
        <w:rPr>
          <w:rFonts w:ascii="Calibri" w:hAnsi="Calibri"/>
          <w:color w:val="525866"/>
          <w:sz w:val="22"/>
        </w:rPr>
        <w:t xml:space="preserve"> UHS's Laurel Ridge behavioral health facility in San Antonio, TX had its Medicare and Medicaid provider agreements terminated effective April 30, 2026, following CMS findings of noncompliance. Significant workforce reductions announced. Management expects operating losses and cash flow deficits during recertification period with no assurance of recertification. </w:t>
      </w:r>
      <w:r>
        <w:rPr>
          <w:rFonts w:ascii="Calibri" w:hAnsi="Calibri"/>
          <w:i/>
          <w:color w:val="525866"/>
          <w:sz w:val="22"/>
        </w:rPr>
        <w:t>Implication:</w:t>
      </w:r>
      <w:r>
        <w:rPr>
          <w:rFonts w:ascii="Calibri" w:hAnsi="Calibri"/>
          <w:color w:val="525866"/>
          <w:sz w:val="22"/>
        </w:rPr>
        <w:t xml:space="preserve"> Modest financial impact (one facility) but a reputational and regulatory overhang; management will likely be asked about recertification timeline on the Q2 call.</w:t>
      </w:r>
    </w:p>
    <w:p>
      <w:pPr>
        <w:pStyle w:val="ListBullet"/>
        <w:ind w:left="360" w:hanging="360"/>
      </w:pPr>
      <w:r>
        <w:rPr>
          <w:rFonts w:ascii="Calibri" w:hAnsi="Calibri"/>
          <w:b/>
          <w:color w:val="525866"/>
          <w:sz w:val="22"/>
        </w:rPr>
        <w:t>April 24, 2026 — UHS Expands Credit Facilities by $900M:</w:t>
      </w:r>
      <w:r>
        <w:rPr>
          <w:rFonts w:ascii="Calibri" w:hAnsi="Calibri"/>
          <w:color w:val="525866"/>
          <w:sz w:val="22"/>
        </w:rPr>
        <w:t xml:space="preserve"> UHS expanded aggregate credit facility capacity by $900M (revolving credit facility expanded to $1.5B) to provide flexibility for Talkspace and continued capital returns. </w:t>
      </w:r>
      <w:r>
        <w:rPr>
          <w:rFonts w:ascii="Calibri" w:hAnsi="Calibri"/>
          <w:i/>
          <w:color w:val="525866"/>
          <w:sz w:val="22"/>
        </w:rPr>
        <w:t>Implication:</w:t>
      </w:r>
      <w:r>
        <w:rPr>
          <w:rFonts w:ascii="Calibri" w:hAnsi="Calibri"/>
          <w:color w:val="525866"/>
          <w:sz w:val="22"/>
        </w:rPr>
        <w:t xml:space="preserve"> Balance sheet positioned for Talkspace close; leverage remains conservative.</w:t>
      </w:r>
    </w:p>
    <w:p>
      <w:r>
        <w:br w:type="page"/>
      </w:r>
    </w:p>
    <w:p>
      <w:pPr>
        <w:pStyle w:val="Heading2"/>
      </w:pPr>
      <w:r>
        <w:rPr>
          <w:rFonts w:ascii="Calibri" w:hAnsi="Calibri"/>
          <w:b/>
          <w:color w:val="3B4259"/>
          <w:sz w:val="28"/>
        </w:rPr>
        <w:t>7. Peer Commentary — Q2 2026 Current-Quarter Read-Throughs</w:t>
      </w:r>
    </w:p>
    <w:p>
      <w:r>
        <w:rPr>
          <w:rFonts w:ascii="Calibri" w:hAnsi="Calibri"/>
          <w:b/>
          <w:color w:val="525866"/>
          <w:sz w:val="22"/>
        </w:rPr>
        <w:t xml:space="preserve">Key Takeaway: </w:t>
      </w:r>
      <w:r>
        <w:rPr>
          <w:rFonts w:ascii="Calibri" w:hAnsi="Calibri"/>
          <w:color w:val="525866"/>
          <w:sz w:val="22"/>
        </w:rPr>
        <w:t xml:space="preserve">Peer Q2 2026 results present a </w:t>
      </w:r>
      <w:r>
        <w:rPr>
          <w:rFonts w:ascii="Calibri" w:hAnsi="Calibri"/>
          <w:b/>
          <w:color w:val="525866"/>
          <w:sz w:val="22"/>
        </w:rPr>
        <w:t>bifurcated read-through</w:t>
      </w:r>
      <w:r>
        <w:rPr>
          <w:rFonts w:ascii="Calibri" w:hAnsi="Calibri"/>
          <w:color w:val="525866"/>
          <w:sz w:val="22"/>
        </w:rPr>
        <w:t>: HCA's guidance cut confirms the ACA exchange headwind is worse than UHS modeled, while THC's beat-and-raise demonstrates that strong cost discipline and Medicaid supplemental payments can more than offset exchange pressure — the net read-through is cautiously positive for UHS if its exchange exposure is more limited than HCA's.</w:t>
      </w:r>
    </w:p>
    <w:p>
      <w:r>
        <w:rPr>
          <w:rFonts w:ascii="Calibri" w:hAnsi="Calibri"/>
          <w:i/>
          <w:color w:val="525866"/>
          <w:sz w:val="22"/>
        </w:rPr>
        <w:t xml:space="preserve">Eligibility filter applied: </w:t>
      </w:r>
      <w:r>
        <w:rPr>
          <w:rFonts w:ascii="Calibri" w:hAnsi="Calibri"/>
          <w:i/>
          <w:color w:val="525866"/>
          <w:sz w:val="22"/>
        </w:rPr>
        <w:t>Only HCA and THC Q2 2026 earnings results and commentary (reported July 14 and July 23–24, 2026, respectively) are included below. These peers report on the same calendar quarter (April–June 2026) as UHS. Prior-quarter peer commentary and non-Q2 conference commentary have been excluded.</w:t>
      </w:r>
    </w:p>
    <w:p>
      <w:pPr>
        <w:pStyle w:val="Heading3"/>
      </w:pPr>
      <w:r>
        <w:rPr>
          <w:rFonts w:ascii="Calibri" w:hAnsi="Calibri"/>
          <w:b/>
          <w:color w:val="3B4259"/>
          <w:sz w:val="24"/>
        </w:rPr>
        <w:t>7A. HCA Healthcare (HCA) — Q2 2026 Results (Pre-announced July 14; Earnings Call July 24)</w:t>
      </w:r>
    </w:p>
    <w:p>
      <w:r>
        <w:rPr>
          <w:rFonts w:ascii="Calibri" w:hAnsi="Calibri"/>
          <w:color w:val="525866"/>
          <w:sz w:val="22"/>
        </w:rPr>
        <w:t>HCA reported Q2 2026 revenue of $20.23B (+9% YoY, above consensus of $19.43B) and EPS of $7.62 (above consensus of $7.47), but cut full-year EPS guidance to $28.70–$30.50 from $29.10–$31.50 and full-year EBITDA guidance to $15.4–$16.1B from $15.55–$16.45B. The guidance cut was driven entirely by a worse-than-expected ACA exchange payer-mix shift.</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HCA Q2 2026 Commentary</w:t>
            </w:r>
          </w:p>
        </w:tc>
        <w:tc>
          <w:tcPr>
            <w:tcW w:type="dxa" w:w="2880"/>
            <w:shd w:val="clear" w:color="auto" w:fill="3B4259"/>
          </w:tcPr>
          <w:p>
            <w:r>
              <w:rPr>
                <w:rFonts w:ascii="Calibri" w:hAnsi="Calibri"/>
                <w:b/>
                <w:color w:val="FFFFFF"/>
                <w:sz w:val="22"/>
              </w:rPr>
              <w:t>Transferability to UHS</w:t>
            </w:r>
          </w:p>
        </w:tc>
      </w:tr>
      <w:tr>
        <w:tc>
          <w:tcPr>
            <w:tcW w:type="dxa" w:w="2880"/>
          </w:tcPr>
          <w:p>
            <w:r>
              <w:rPr>
                <w:rFonts w:ascii="Calibri" w:hAnsi="Calibri"/>
                <w:sz w:val="22"/>
              </w:rPr>
              <w:t>ACA Exchange / Payer Mix</w:t>
            </w:r>
          </w:p>
        </w:tc>
        <w:tc>
          <w:tcPr>
            <w:tcW w:type="dxa" w:w="2880"/>
          </w:tcPr>
          <w:p>
            <w:r>
              <w:rPr>
                <w:rFonts w:ascii="Calibri" w:hAnsi="Calibri"/>
                <w:sz w:val="22"/>
              </w:rPr>
              <w:t>Exchange admissions -15% YoY; nearly 1-for-1 conversion to uninsured; $400M EBITDA headwind in Q2; full-year exchange impact revised to $1.0–1.2B (from $600M–$900M). Three divisions (Gulf Coast, North Florida, South Atlantic) accounted for ~50% of total impact with exchange admission declines of 25–28%.</w:t>
            </w:r>
          </w:p>
        </w:tc>
        <w:tc>
          <w:tcPr>
            <w:tcW w:type="dxa" w:w="2880"/>
          </w:tcPr>
          <w:p>
            <w:r>
              <w:rPr>
                <w:rFonts w:ascii="Calibri" w:hAnsi="Calibri"/>
                <w:b/>
                <w:sz w:val="22"/>
              </w:rPr>
              <w:t>HIGH.</w:t>
            </w:r>
            <w:r>
              <w:rPr>
                <w:rFonts w:ascii="Calibri" w:hAnsi="Calibri"/>
                <w:sz w:val="22"/>
              </w:rPr>
              <w:t xml:space="preserve"> UHS has significant Florida and Texas exposure. UHS's $75M full-year exchange assumption appears materially understated relative to HCA's experience. Management will need to update this assumption at Q2 earnings. Key question: what % of UHS's exchange population has converted to uninsured?</w:t>
            </w:r>
          </w:p>
        </w:tc>
      </w:tr>
      <w:tr>
        <w:tc>
          <w:tcPr>
            <w:tcW w:type="dxa" w:w="2880"/>
          </w:tcPr>
          <w:p>
            <w:r>
              <w:rPr>
                <w:rFonts w:ascii="Calibri" w:hAnsi="Calibri"/>
                <w:sz w:val="22"/>
              </w:rPr>
              <w:t>Admissions / Volume</w:t>
            </w:r>
          </w:p>
        </w:tc>
        <w:tc>
          <w:tcPr>
            <w:tcW w:type="dxa" w:w="2880"/>
          </w:tcPr>
          <w:p>
            <w:r>
              <w:rPr>
                <w:rFonts w:ascii="Calibri" w:hAnsi="Calibri"/>
                <w:sz w:val="22"/>
              </w:rPr>
              <w:t>Same-facility admissions +2.5% YoY; equivalent admissions +2.7%; insured volumes (ex-exchange) +3.2%; ER visits +3.6%. Underlying demand described as 'solid with improving trends.'</w:t>
            </w:r>
          </w:p>
        </w:tc>
        <w:tc>
          <w:tcPr>
            <w:tcW w:type="dxa" w:w="2880"/>
          </w:tcPr>
          <w:p>
            <w:r>
              <w:rPr>
                <w:rFonts w:ascii="Calibri" w:hAnsi="Calibri"/>
                <w:b/>
                <w:sz w:val="22"/>
              </w:rPr>
              <w:t>HIGH.</w:t>
            </w:r>
            <w:r>
              <w:rPr>
                <w:rFonts w:ascii="Calibri" w:hAnsi="Calibri"/>
                <w:sz w:val="22"/>
              </w:rPr>
              <w:t xml:space="preserve"> Consistent with UHS's 2–3% volume growth framework. Healthy underlying demand supports UHS's behavioral and acute volume recovery thesis for Q2 and H2.</w:t>
            </w:r>
          </w:p>
        </w:tc>
      </w:tr>
      <w:tr>
        <w:tc>
          <w:tcPr>
            <w:tcW w:type="dxa" w:w="2880"/>
          </w:tcPr>
          <w:p>
            <w:r>
              <w:rPr>
                <w:rFonts w:ascii="Calibri" w:hAnsi="Calibri"/>
                <w:sz w:val="22"/>
              </w:rPr>
              <w:t>Surgical Volumes</w:t>
            </w:r>
          </w:p>
        </w:tc>
        <w:tc>
          <w:tcPr>
            <w:tcW w:type="dxa" w:w="2880"/>
          </w:tcPr>
          <w:p>
            <w:r>
              <w:rPr>
                <w:rFonts w:ascii="Calibri" w:hAnsi="Calibri"/>
                <w:sz w:val="22"/>
              </w:rPr>
              <w:t>Inpatient surgeries -2.3%; outpatient surgeries -3.4%; elective inpatient surgeries -6% (vs. -2% in 2025). Decline attributed to exchange disenrollment and general affordability pressures. Emergency inpatient surgeries +2% YTD.</w:t>
            </w:r>
          </w:p>
        </w:tc>
        <w:tc>
          <w:tcPr>
            <w:tcW w:type="dxa" w:w="2880"/>
          </w:tcPr>
          <w:p>
            <w:r>
              <w:rPr>
                <w:rFonts w:ascii="Calibri" w:hAnsi="Calibri"/>
                <w:b/>
                <w:sz w:val="22"/>
              </w:rPr>
              <w:t>MODERATE.</w:t>
            </w:r>
            <w:r>
              <w:rPr>
                <w:rFonts w:ascii="Calibri" w:hAnsi="Calibri"/>
                <w:sz w:val="22"/>
              </w:rPr>
              <w:t xml:space="preserve"> UHS has less surgical mix than HCA but the elective surgery softness is a broad market signal. Emergent surgery strength is a positive for UHS's acute acuity mix.</w:t>
            </w:r>
          </w:p>
        </w:tc>
      </w:tr>
      <w:tr>
        <w:tc>
          <w:tcPr>
            <w:tcW w:type="dxa" w:w="2880"/>
          </w:tcPr>
          <w:p>
            <w:r>
              <w:rPr>
                <w:rFonts w:ascii="Calibri" w:hAnsi="Calibri"/>
                <w:sz w:val="22"/>
              </w:rPr>
              <w:t>Pricing / Revenue per Admission</w:t>
            </w:r>
          </w:p>
        </w:tc>
        <w:tc>
          <w:tcPr>
            <w:tcW w:type="dxa" w:w="2880"/>
          </w:tcPr>
          <w:p>
            <w:r>
              <w:rPr>
                <w:rFonts w:ascii="Calibri" w:hAnsi="Calibri"/>
                <w:sz w:val="22"/>
              </w:rPr>
              <w:t>Net revenue per equivalent admission +6.4% YoY, driven by contracted rate increases and governmental payment updates, partially offset by exchange payer-mix headwind. Commercial rates 'as expected.'</w:t>
            </w:r>
          </w:p>
        </w:tc>
        <w:tc>
          <w:tcPr>
            <w:tcW w:type="dxa" w:w="2880"/>
          </w:tcPr>
          <w:p>
            <w:r>
              <w:rPr>
                <w:rFonts w:ascii="Calibri" w:hAnsi="Calibri"/>
                <w:b/>
                <w:sz w:val="22"/>
              </w:rPr>
              <w:t>HIGH.</w:t>
            </w:r>
            <w:r>
              <w:rPr>
                <w:rFonts w:ascii="Calibri" w:hAnsi="Calibri"/>
                <w:sz w:val="22"/>
              </w:rPr>
              <w:t xml:space="preserve"> Confirms that contracted rate increases remain intact industry-wide. UHS's acute pricing has been running above the 3% sustainable level; some normalization expected but commercial rate environment is supportive.</w:t>
            </w:r>
          </w:p>
        </w:tc>
      </w:tr>
      <w:tr>
        <w:tc>
          <w:tcPr>
            <w:tcW w:type="dxa" w:w="2880"/>
          </w:tcPr>
          <w:p>
            <w:r>
              <w:rPr>
                <w:rFonts w:ascii="Calibri" w:hAnsi="Calibri"/>
                <w:sz w:val="22"/>
              </w:rPr>
              <w:t>Medicaid Supplemental Payments</w:t>
            </w:r>
          </w:p>
        </w:tc>
        <w:tc>
          <w:tcPr>
            <w:tcW w:type="dxa" w:w="2880"/>
          </w:tcPr>
          <w:p>
            <w:r>
              <w:rPr>
                <w:rFonts w:ascii="Calibri" w:hAnsi="Calibri"/>
                <w:sz w:val="22"/>
              </w:rPr>
              <w:t>HCA recognized ~$400M incremental net benefit in Q2, including $540M from the Florida program (Oct 2024–Jun 2026, 21 months). Full-year guidance: $300M–$500M net benefit; $100–$300M headwind expected in H2 2026.</w:t>
            </w:r>
          </w:p>
        </w:tc>
        <w:tc>
          <w:tcPr>
            <w:tcW w:type="dxa" w:w="2880"/>
          </w:tcPr>
          <w:p>
            <w:r>
              <w:rPr>
                <w:rFonts w:ascii="Calibri" w:hAnsi="Calibri"/>
                <w:b/>
                <w:sz w:val="22"/>
              </w:rPr>
              <w:t>HIGH.</w:t>
            </w:r>
            <w:r>
              <w:rPr>
                <w:rFonts w:ascii="Calibri" w:hAnsi="Calibri"/>
                <w:sz w:val="22"/>
              </w:rPr>
              <w:t xml:space="preserve"> Confirms the Florida supplemental program is real and material. UHS's $100M incremental Q2 benefit is consistent with HCA's experience. HCA's H2 headwind from supplemental payments is a risk for UHS's back-half earnings ramp.</w:t>
            </w:r>
          </w:p>
        </w:tc>
      </w:tr>
      <w:tr>
        <w:tc>
          <w:tcPr>
            <w:tcW w:type="dxa" w:w="2880"/>
          </w:tcPr>
          <w:p>
            <w:r>
              <w:rPr>
                <w:rFonts w:ascii="Calibri" w:hAnsi="Calibri"/>
                <w:sz w:val="22"/>
              </w:rPr>
              <w:t>Labor / Cost Management</w:t>
            </w:r>
          </w:p>
        </w:tc>
        <w:tc>
          <w:tcPr>
            <w:tcW w:type="dxa" w:w="2880"/>
          </w:tcPr>
          <w:p>
            <w:r>
              <w:rPr>
                <w:rFonts w:ascii="Calibri" w:hAnsi="Calibri"/>
                <w:sz w:val="22"/>
              </w:rPr>
              <w:t>Same-facility cost per equivalent admission essentially flat YoY. Professional fees +8.5% YoY (anesthesia and radiology elevated) but flat sequentially. Management confident in multi-year resiliency program to bend cost curve in H2 2026 and 2027.</w:t>
            </w:r>
          </w:p>
        </w:tc>
        <w:tc>
          <w:tcPr>
            <w:tcW w:type="dxa" w:w="2880"/>
          </w:tcPr>
          <w:p>
            <w:r>
              <w:rPr>
                <w:rFonts w:ascii="Calibri" w:hAnsi="Calibri"/>
                <w:b/>
                <w:sz w:val="22"/>
              </w:rPr>
              <w:t>MODERATE.</w:t>
            </w:r>
            <w:r>
              <w:rPr>
                <w:rFonts w:ascii="Calibri" w:hAnsi="Calibri"/>
                <w:sz w:val="22"/>
              </w:rPr>
              <w:t xml:space="preserve"> Professional fee pressure is an industry-wide headwind. UHS has guided to high-single-digit professional fee growth for FY2026. HCA's flat sequential trend is a mild positive signal.</w:t>
            </w:r>
          </w:p>
        </w:tc>
      </w:tr>
    </w:tbl>
    <w:p>
      <w:pPr>
        <w:pStyle w:val="Heading3"/>
      </w:pPr>
      <w:r>
        <w:rPr>
          <w:rFonts w:ascii="Calibri" w:hAnsi="Calibri"/>
          <w:b/>
          <w:color w:val="3B4259"/>
          <w:sz w:val="24"/>
        </w:rPr>
        <w:t>7B. Tenet Healthcare (THC) — Q2 2026 Results (Reported July 23–24, 2026)</w:t>
      </w:r>
    </w:p>
    <w:p>
      <w:r>
        <w:rPr>
          <w:rFonts w:ascii="Calibri" w:hAnsi="Calibri"/>
          <w:color w:val="525866"/>
          <w:sz w:val="22"/>
        </w:rPr>
        <w:t>THC reported Q2 2026 adjusted EPS of $6.12 vs. consensus of $4.26 (+44% beat) and operating revenue of $5.63B vs. consensus of $5.43B (+3.7% beat). Full-year EPS guidance raised to $20.30–$21.69 from $16.38–$18.68. Hospital segment adjusted EBITDA of $762M (+22% YoY) with 18% EBITDA margins. THC announced a $2B buyback increase.</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THC Q2 2026 Commentary</w:t>
            </w:r>
          </w:p>
        </w:tc>
        <w:tc>
          <w:tcPr>
            <w:tcW w:type="dxa" w:w="2880"/>
            <w:shd w:val="clear" w:color="auto" w:fill="3B4259"/>
          </w:tcPr>
          <w:p>
            <w:r>
              <w:rPr>
                <w:rFonts w:ascii="Calibri" w:hAnsi="Calibri"/>
                <w:b/>
                <w:color w:val="FFFFFF"/>
                <w:sz w:val="22"/>
              </w:rPr>
              <w:t>Transferability to UHS</w:t>
            </w:r>
          </w:p>
        </w:tc>
      </w:tr>
      <w:tr>
        <w:tc>
          <w:tcPr>
            <w:tcW w:type="dxa" w:w="2880"/>
          </w:tcPr>
          <w:p>
            <w:r>
              <w:rPr>
                <w:rFonts w:ascii="Calibri" w:hAnsi="Calibri"/>
                <w:sz w:val="22"/>
              </w:rPr>
              <w:t>Admissions / Volume</w:t>
            </w:r>
          </w:p>
        </w:tc>
        <w:tc>
          <w:tcPr>
            <w:tcW w:type="dxa" w:w="2880"/>
          </w:tcPr>
          <w:p>
            <w:r>
              <w:rPr>
                <w:rFonts w:ascii="Calibri" w:hAnsi="Calibri"/>
                <w:sz w:val="22"/>
              </w:rPr>
              <w:t>Same-hospital inpatient adjusted admissions +2.6% YoY, a sequential improvement from Q1. CEO stated: 'this is not an environment to be pessimistic about with respect to the acute care industry.' Volume growth of 2–2.5% described as 'healthy years' relative to pre-COVID history.</w:t>
            </w:r>
          </w:p>
        </w:tc>
        <w:tc>
          <w:tcPr>
            <w:tcW w:type="dxa" w:w="2880"/>
          </w:tcPr>
          <w:p>
            <w:r>
              <w:rPr>
                <w:rFonts w:ascii="Calibri" w:hAnsi="Calibri"/>
                <w:b/>
                <w:sz w:val="22"/>
              </w:rPr>
              <w:t>HIGH.</w:t>
            </w:r>
            <w:r>
              <w:rPr>
                <w:rFonts w:ascii="Calibri" w:hAnsi="Calibri"/>
                <w:sz w:val="22"/>
              </w:rPr>
              <w:t xml:space="preserve"> Sequential improvement in admissions is a direct positive read-through for UHS's Q2 volume recovery thesis. Confirms the 2–3% volume growth framework is achievable.</w:t>
            </w:r>
          </w:p>
        </w:tc>
      </w:tr>
      <w:tr>
        <w:tc>
          <w:tcPr>
            <w:tcW w:type="dxa" w:w="2880"/>
          </w:tcPr>
          <w:p>
            <w:r>
              <w:rPr>
                <w:rFonts w:ascii="Calibri" w:hAnsi="Calibri"/>
                <w:sz w:val="22"/>
              </w:rPr>
              <w:t>ACA Exchange / Payer Mix</w:t>
            </w:r>
          </w:p>
        </w:tc>
        <w:tc>
          <w:tcPr>
            <w:tcW w:type="dxa" w:w="2880"/>
          </w:tcPr>
          <w:p>
            <w:r>
              <w:rPr>
                <w:rFonts w:ascii="Calibri" w:hAnsi="Calibri"/>
                <w:sz w:val="22"/>
              </w:rPr>
              <w:t>Exchange revenues -17% YoY; exchange volume admissions -13.5%; highest impact in Florida, Arizona, Michigan, South Carolina, and Texas. Nearly 1-for-1 conversion from exchange to uninsured. Commercial managed care revenues showed 'attractive growth'; employer group revenue up low-single-digits QoQ.</w:t>
            </w:r>
          </w:p>
        </w:tc>
        <w:tc>
          <w:tcPr>
            <w:tcW w:type="dxa" w:w="2880"/>
          </w:tcPr>
          <w:p>
            <w:r>
              <w:rPr>
                <w:rFonts w:ascii="Calibri" w:hAnsi="Calibri"/>
                <w:b/>
                <w:sz w:val="22"/>
              </w:rPr>
              <w:t>HIGH.</w:t>
            </w:r>
            <w:r>
              <w:rPr>
                <w:rFonts w:ascii="Calibri" w:hAnsi="Calibri"/>
                <w:sz w:val="22"/>
              </w:rPr>
              <w:t xml:space="preserve"> Confirms the exchange headwind is real and broad-based. However, THC's ability to beat despite this headwind (through cost discipline and supplemental payments) is the key positive signal for UHS.</w:t>
            </w:r>
          </w:p>
        </w:tc>
      </w:tr>
      <w:tr>
        <w:tc>
          <w:tcPr>
            <w:tcW w:type="dxa" w:w="2880"/>
          </w:tcPr>
          <w:p>
            <w:r>
              <w:rPr>
                <w:rFonts w:ascii="Calibri" w:hAnsi="Calibri"/>
                <w:sz w:val="22"/>
              </w:rPr>
              <w:t>Medicaid Supplemental Payments</w:t>
            </w:r>
          </w:p>
        </w:tc>
        <w:tc>
          <w:tcPr>
            <w:tcW w:type="dxa" w:w="2880"/>
          </w:tcPr>
          <w:p>
            <w:r>
              <w:rPr>
                <w:rFonts w:ascii="Calibri" w:hAnsi="Calibri"/>
                <w:sz w:val="22"/>
              </w:rPr>
              <w:t>Medicaid revenue +$125M YoY; out-of-period payments explain ~$22–25M; remainder driven by volume growth, program adjustments, and the Florida program increase. Supplemental payments were a meaningful offset to exchange headwinds.</w:t>
            </w:r>
          </w:p>
        </w:tc>
        <w:tc>
          <w:tcPr>
            <w:tcW w:type="dxa" w:w="2880"/>
          </w:tcPr>
          <w:p>
            <w:r>
              <w:rPr>
                <w:rFonts w:ascii="Calibri" w:hAnsi="Calibri"/>
                <w:b/>
                <w:sz w:val="22"/>
              </w:rPr>
              <w:t>HIGH.</w:t>
            </w:r>
            <w:r>
              <w:rPr>
                <w:rFonts w:ascii="Calibri" w:hAnsi="Calibri"/>
                <w:sz w:val="22"/>
              </w:rPr>
              <w:t xml:space="preserve"> Confirms that Medicaid supplemental programs are a real and material offset to exchange headwinds. UHS's $100M Florida Q2 benefit is consistent with this dynamic.</w:t>
            </w:r>
          </w:p>
        </w:tc>
      </w:tr>
      <w:tr>
        <w:tc>
          <w:tcPr>
            <w:tcW w:type="dxa" w:w="2880"/>
          </w:tcPr>
          <w:p>
            <w:r>
              <w:rPr>
                <w:rFonts w:ascii="Calibri" w:hAnsi="Calibri"/>
                <w:sz w:val="22"/>
              </w:rPr>
              <w:t>Cost Management / Margins</w:t>
            </w:r>
          </w:p>
        </w:tc>
        <w:tc>
          <w:tcPr>
            <w:tcW w:type="dxa" w:w="2880"/>
          </w:tcPr>
          <w:p>
            <w:r>
              <w:rPr>
                <w:rFonts w:ascii="Calibri" w:hAnsi="Calibri"/>
                <w:sz w:val="22"/>
              </w:rPr>
              <w:t>Consolidated adjusted EBITDA margin of 23.2%; hospital segment EBITDA margin of 18%. Professional fees +10% YoY but 'managed per expectations.' Cost management strategies include productivity, contract renegotiations, clinical operations improvement, and technology/AI.</w:t>
            </w:r>
          </w:p>
        </w:tc>
        <w:tc>
          <w:tcPr>
            <w:tcW w:type="dxa" w:w="2880"/>
          </w:tcPr>
          <w:p>
            <w:r>
              <w:rPr>
                <w:rFonts w:ascii="Calibri" w:hAnsi="Calibri"/>
                <w:b/>
                <w:sz w:val="22"/>
              </w:rPr>
              <w:t>HIGH.</w:t>
            </w:r>
            <w:r>
              <w:rPr>
                <w:rFonts w:ascii="Calibri" w:hAnsi="Calibri"/>
                <w:sz w:val="22"/>
              </w:rPr>
              <w:t xml:space="preserve"> THC's 18% hospital EBITDA margin and strong cost discipline is the most important positive read-through for UHS. Demonstrates that the exchange headwind can be absorbed through operational execution. UHS's acute margins were tracking toward 15.8% in 2025 (same-store, ex-de novos).</w:t>
            </w:r>
          </w:p>
        </w:tc>
      </w:tr>
      <w:tr>
        <w:tc>
          <w:tcPr>
            <w:tcW w:type="dxa" w:w="2880"/>
          </w:tcPr>
          <w:p>
            <w:r>
              <w:rPr>
                <w:rFonts w:ascii="Calibri" w:hAnsi="Calibri"/>
                <w:sz w:val="22"/>
              </w:rPr>
              <w:t>Surgical Volumes (ASC/Outpatient)</w:t>
            </w:r>
          </w:p>
        </w:tc>
        <w:tc>
          <w:tcPr>
            <w:tcW w:type="dxa" w:w="2880"/>
          </w:tcPr>
          <w:p>
            <w:r>
              <w:rPr>
                <w:rFonts w:ascii="Calibri" w:hAnsi="Calibri"/>
                <w:sz w:val="22"/>
              </w:rPr>
              <w:t>USP (ASC) same-facility revenues +5%; net revenue per case +6.3% (high-acuity focus); same-facility case volumes -1.2% (lower-acuity migration to office settings). Total joint replacements in ASCs +10% YoY.</w:t>
            </w:r>
          </w:p>
        </w:tc>
        <w:tc>
          <w:tcPr>
            <w:tcW w:type="dxa" w:w="2880"/>
          </w:tcPr>
          <w:p>
            <w:r>
              <w:rPr>
                <w:rFonts w:ascii="Calibri" w:hAnsi="Calibri"/>
                <w:b/>
                <w:sz w:val="22"/>
              </w:rPr>
              <w:t>MODERATE.</w:t>
            </w:r>
            <w:r>
              <w:rPr>
                <w:rFonts w:ascii="Calibri" w:hAnsi="Calibri"/>
                <w:sz w:val="22"/>
              </w:rPr>
              <w:t xml:space="preserve"> UHS is expanding its ASC footprint (targeting 2–3x current ~12 ASCs over several years). High-acuity ASC growth is a positive long-term signal for UHS's outpatient strategy.</w:t>
            </w:r>
          </w:p>
        </w:tc>
      </w:tr>
    </w:tbl>
    <w:p>
      <w:r>
        <w:br w:type="page"/>
      </w:r>
    </w:p>
    <w:p>
      <w:pPr>
        <w:pStyle w:val="Heading2"/>
      </w:pPr>
      <w:r>
        <w:rPr>
          <w:rFonts w:ascii="Calibri" w:hAnsi="Calibri"/>
          <w:b/>
          <w:color w:val="3B4259"/>
          <w:sz w:val="28"/>
        </w:rPr>
        <w:t>8. Insider Transaction Activity (Since Q1 2026 Earnings, April 28, 2026)</w:t>
      </w:r>
    </w:p>
    <w:p>
      <w:r>
        <w:rPr>
          <w:rFonts w:ascii="Calibri" w:hAnsi="Calibri"/>
          <w:b/>
          <w:color w:val="525866"/>
          <w:sz w:val="22"/>
        </w:rPr>
        <w:t xml:space="preserve">Key Takeaway: </w:t>
      </w:r>
      <w:r>
        <w:rPr>
          <w:rFonts w:ascii="Calibri" w:hAnsi="Calibri"/>
          <w:color w:val="525866"/>
          <w:sz w:val="22"/>
        </w:rPr>
        <w:t>No notable open-market insider buying or selling activity has been identified in the post-Q1 window; the absence of discretionary insider selling ahead of earnings is a mild positive signal, consistent with management's stated view that the current share price is 'fairly compelling.'</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N/A — No material open-market transactions identified in the post-Q1 window</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No Form 4 open-market buys or discretionary sells identified since April 28, 2026</w:t>
            </w:r>
          </w:p>
        </w:tc>
      </w:tr>
    </w:tbl>
    <w:p>
      <w:r>
        <w:rPr>
          <w:rFonts w:ascii="Calibri" w:hAnsi="Calibri"/>
          <w:i/>
          <w:color w:val="525866"/>
          <w:sz w:val="22"/>
        </w:rPr>
        <w:t xml:space="preserve">Note: </w:t>
      </w:r>
      <w:r>
        <w:rPr>
          <w:rFonts w:ascii="Calibri" w:hAnsi="Calibri"/>
          <w:i/>
          <w:color w:val="525866"/>
          <w:sz w:val="22"/>
        </w:rPr>
        <w:t>Company-level share repurchases (not insider Form 4 transactions) have been active — UHS repurchased 675,000 shares at $127M in Q1 2026 and management guided to more aggressive buyback activity in Q2. These are corporate actions, not insider transactions, and are not reflected in the table above.</w:t>
      </w:r>
    </w:p>
    <w:p>
      <w:pPr>
        <w:pStyle w:val="Heading2"/>
      </w:pPr>
      <w:r>
        <w:rPr>
          <w:rFonts w:ascii="Calibri" w:hAnsi="Calibri"/>
          <w:b/>
          <w:color w:val="3B4259"/>
          <w:sz w:val="28"/>
        </w:rPr>
        <w:t>9. Key Questions for Management</w:t>
      </w:r>
    </w:p>
    <w:p>
      <w:pPr>
        <w:pStyle w:val="ListNumber"/>
        <w:ind w:left="360" w:hanging="360"/>
      </w:pPr>
      <w:r>
        <w:rPr>
          <w:rFonts w:ascii="Calibri" w:hAnsi="Calibri"/>
          <w:b/>
          <w:color w:val="525866"/>
          <w:sz w:val="22"/>
        </w:rPr>
        <w:t>ACA Exchange Headwind Update:</w:t>
      </w:r>
      <w:r>
        <w:rPr>
          <w:rFonts w:ascii="Calibri" w:hAnsi="Calibri"/>
          <w:color w:val="525866"/>
          <w:sz w:val="22"/>
        </w:rPr>
        <w:t xml:space="preserve"> HCA revised its full-year exchange EBITDA impact to $1.0–1.2B (from $600M–$900M) and THC saw exchange revenues -17% YoY. UHS's current assumption is $75M pre-tax for the full year. What is UHS's updated estimate of the full-year exchange impact, and how does the Q2 experience compare to the $75M assumption? What percentage of UHS's exchange population has converted to uninsured?</w:t>
      </w:r>
    </w:p>
    <w:p>
      <w:pPr>
        <w:pStyle w:val="ListNumber"/>
        <w:ind w:left="360" w:hanging="360"/>
      </w:pPr>
      <w:r>
        <w:rPr>
          <w:rFonts w:ascii="Calibri" w:hAnsi="Calibri"/>
          <w:b/>
          <w:color w:val="525866"/>
          <w:sz w:val="22"/>
        </w:rPr>
        <w:t>Florida Medicaid Supplemental Payment (FY26 Program):</w:t>
      </w:r>
      <w:r>
        <w:rPr>
          <w:rFonts w:ascii="Calibri" w:hAnsi="Calibri"/>
          <w:color w:val="525866"/>
          <w:sz w:val="22"/>
        </w:rPr>
        <w:t xml:space="preserve"> The FY25 program ($100M incremental benefit) was recorded in Q2. What is the status of the FY26 Florida program approval, and what is management's current estimate of the size and timing of that benefit? Is it included in the reiterated full-year guidance?</w:t>
      </w:r>
    </w:p>
    <w:p>
      <w:pPr>
        <w:pStyle w:val="ListNumber"/>
        <w:ind w:left="360" w:hanging="360"/>
      </w:pPr>
      <w:r>
        <w:rPr>
          <w:rFonts w:ascii="Calibri" w:hAnsi="Calibri"/>
          <w:b/>
          <w:color w:val="525866"/>
          <w:sz w:val="22"/>
        </w:rPr>
        <w:t>Full-Year Guidance Update:</w:t>
      </w:r>
      <w:r>
        <w:rPr>
          <w:rFonts w:ascii="Calibri" w:hAnsi="Calibri"/>
          <w:color w:val="525866"/>
          <w:sz w:val="22"/>
        </w:rPr>
        <w:t xml:space="preserve"> Management guided to a 5% core earnings growth ramp through the year. Given the steeper-than-expected exchange headwind (per HCA and THC), is the full-year guidance range still achievable? What are the key offsets — supplemental payments, cost management, volume recovery — that support the guidance hold?</w:t>
      </w:r>
    </w:p>
    <w:p>
      <w:pPr>
        <w:pStyle w:val="ListNumber"/>
        <w:ind w:left="360" w:hanging="360"/>
      </w:pPr>
      <w:r>
        <w:rPr>
          <w:rFonts w:ascii="Calibri" w:hAnsi="Calibri"/>
          <w:b/>
          <w:color w:val="525866"/>
          <w:sz w:val="22"/>
        </w:rPr>
        <w:t>Behavioral Volume Recovery:</w:t>
      </w:r>
      <w:r>
        <w:rPr>
          <w:rFonts w:ascii="Calibri" w:hAnsi="Calibri"/>
          <w:color w:val="525866"/>
          <w:sz w:val="22"/>
        </w:rPr>
        <w:t xml:space="preserve"> Q1 behavioral adjusted patient day growth was 1.6% (weather-impacted). Did Q2 volumes recover toward the 2–3% target as expected? How is the California staffing regulation (effective June 1) affecting behavioral labor costs and capacity in Q2?</w:t>
      </w:r>
    </w:p>
    <w:p>
      <w:pPr>
        <w:pStyle w:val="ListNumber"/>
        <w:ind w:left="360" w:hanging="360"/>
      </w:pPr>
      <w:r>
        <w:rPr>
          <w:rFonts w:ascii="Calibri" w:hAnsi="Calibri"/>
          <w:b/>
          <w:color w:val="525866"/>
          <w:sz w:val="22"/>
        </w:rPr>
        <w:t>Cedar Hill and Palm Beach Gardens Ramp:</w:t>
      </w:r>
      <w:r>
        <w:rPr>
          <w:rFonts w:ascii="Calibri" w:hAnsi="Calibri"/>
          <w:color w:val="525866"/>
          <w:sz w:val="22"/>
        </w:rPr>
        <w:t xml:space="preserve"> Cedar Hill entered the same-store group in Q2 and management guided to full-year breakeven. How is Cedar Hill tracking vs. the $50M improvement target? Palm Beach Gardens opened in May — what is the expected operating loss for the year, and how does it compare to the West Henderson ramp experience?</w:t>
      </w:r>
    </w:p>
    <w:p>
      <w:pPr>
        <w:pStyle w:val="ListNumber"/>
        <w:ind w:left="360" w:hanging="360"/>
      </w:pPr>
      <w:r>
        <w:rPr>
          <w:rFonts w:ascii="Calibri" w:hAnsi="Calibri"/>
          <w:b/>
          <w:color w:val="525866"/>
          <w:sz w:val="22"/>
        </w:rPr>
        <w:t>Talkspace Acquisition Timing and Integration:</w:t>
      </w:r>
      <w:r>
        <w:rPr>
          <w:rFonts w:ascii="Calibri" w:hAnsi="Calibri"/>
          <w:color w:val="525866"/>
          <w:sz w:val="22"/>
        </w:rPr>
        <w:t xml:space="preserve"> The $700M delayed draw term loan was added July 20. Is the Talkspace close still on track for early Q3? What are the first integration priorities, and when does management expect to see the first revenue synergies from the bidirectional referral flow?</w:t>
      </w:r>
    </w:p>
    <w:p>
      <w:pPr>
        <w:pStyle w:val="ListNumber"/>
        <w:ind w:left="360" w:hanging="360"/>
      </w:pPr>
      <w:r>
        <w:rPr>
          <w:rFonts w:ascii="Calibri" w:hAnsi="Calibri"/>
          <w:b/>
          <w:color w:val="525866"/>
          <w:sz w:val="22"/>
        </w:rPr>
        <w:t>Laurel Ridge Recertification:</w:t>
      </w:r>
      <w:r>
        <w:rPr>
          <w:rFonts w:ascii="Calibri" w:hAnsi="Calibri"/>
          <w:color w:val="525866"/>
          <w:sz w:val="22"/>
        </w:rPr>
        <w:t xml:space="preserve"> What is the current status of the Laurel Ridge recertification process? What is the expected financial impact (operating losses, cash flow deficits) for the remainder of 2026, and is this included in guidance?</w:t>
      </w:r>
    </w:p>
    <w:p>
      <w:pPr>
        <w:pStyle w:val="ListNumber"/>
        <w:ind w:left="360" w:hanging="360"/>
      </w:pPr>
      <w:r>
        <w:rPr>
          <w:rFonts w:ascii="Calibri" w:hAnsi="Calibri"/>
          <w:b/>
          <w:color w:val="525866"/>
          <w:sz w:val="22"/>
        </w:rPr>
        <w:t>Share Repurchase Activity in Q2:</w:t>
      </w:r>
      <w:r>
        <w:rPr>
          <w:rFonts w:ascii="Calibri" w:hAnsi="Calibri"/>
          <w:color w:val="525866"/>
          <w:sz w:val="22"/>
        </w:rPr>
        <w:t xml:space="preserve"> Management guided to 'more aggressive' buyback in Q2. How many shares were repurchased in Q2, and what is the remaining authorization? Does the Talkspace close change the pace of buyback in H2?</w:t>
      </w:r>
    </w:p>
    <w:p>
      <w:pPr>
        <w:pStyle w:val="ListNumber"/>
        <w:ind w:left="360" w:hanging="360"/>
      </w:pPr>
      <w:r>
        <w:rPr>
          <w:rFonts w:ascii="Calibri" w:hAnsi="Calibri"/>
          <w:b/>
          <w:color w:val="525866"/>
          <w:sz w:val="22"/>
        </w:rPr>
        <w:t>AI Revenue Cycle — Behavioral Segment:</w:t>
      </w:r>
      <w:r>
        <w:rPr>
          <w:rFonts w:ascii="Calibri" w:hAnsi="Calibri"/>
          <w:color w:val="525866"/>
          <w:sz w:val="22"/>
        </w:rPr>
        <w:t xml:space="preserve"> Management noted the behavioral RCM AI improvement initiative is more of a 2027 tailwind given the EHR implementation is still in progress. What is the current timeline for the behavioral EHR rollout, and what is the expected revenue per adjusted patient day benefit once deployed?</w:t>
      </w:r>
    </w:p>
    <w:p>
      <w:pPr>
        <w:pStyle w:val="ListNumber"/>
        <w:ind w:left="360" w:hanging="360"/>
      </w:pPr>
      <w:r>
        <w:rPr>
          <w:rFonts w:ascii="Calibri" w:hAnsi="Calibri"/>
          <w:b/>
          <w:color w:val="525866"/>
          <w:sz w:val="22"/>
        </w:rPr>
        <w:t>Medicaid Work Requirements and 2028 Supplemental Payment Phasedown:</w:t>
      </w:r>
      <w:r>
        <w:rPr>
          <w:rFonts w:ascii="Calibri" w:hAnsi="Calibri"/>
          <w:color w:val="525866"/>
          <w:sz w:val="22"/>
        </w:rPr>
        <w:t xml:space="preserve"> Management has been lobbying on the 'one big beautiful bill' provisions. What is the latest read on the likelihood of moderating the 2028 supplemental payment phasedown? How is UHS modeling the Medicaid work requirement impact beginning 2027?</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