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UNP thoroughly before writing the preview. Let me start by gathering recent filings, earnings, and news.Let me dig into the Q1 2026 earnings materials and the major news story — the Norfolk Southern merger.Now let me get recent merger news, the Q1 earnings release numbers, stock price trends, and analyst expectations.Let me get the latest news around the mid-July stock jump and merger developments.Let me pull UNP-specific daily news to understand the mid-July rally and get the Q1 earnings release figures.Let me get current consensus estimates and the latest merger/STB status via web search.I need to parse the JSON string. Let me get the key merger and estimate details.# Union Pacific (UNP) — Q2 2026 Earnings Preview</w:t>
      </w:r>
    </w:p>
    <w:bookmarkStart w:id="9" w:name="Xb67db6f9f0195baa83fdfcc6d53fa5a27d89bda"/>
    <w:p>
      <w:pPr>
        <w:pStyle w:val="Heading3"/>
      </w:pPr>
      <w:r>
        <w:t xml:space="preserve">Reports Thursday, July 23, 2026 (before the open; release 7:45 a.m. ET, call 8:45 a.m. ET)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This is a "results are almost the sideshow" quarter. UNP is running the best operating railroad in its history, but the stock — up ~26% YTD (from ~</w:t>
      </w:r>
      <m:oMath>
        <m:r>
          <m:t>232</m:t>
        </m:r>
        <m:r>
          <m:t>t</m:t>
        </m:r>
        <m:r>
          <m:t>o</m:t>
        </m:r>
        <m:r>
          <m:t> </m:t>
        </m:r>
      </m:oMath>
      <w:r>
        <w:t xml:space="preserve">293) and trading at rich multiples — is being driven far more by the</w:t>
      </w:r>
      <w:r>
        <w:t xml:space="preserve"> </w:t>
      </w:r>
      <w:r>
        <w:rPr>
          <w:b/>
          <w:bCs/>
        </w:rPr>
        <w:t xml:space="preserve">pending Norfolk Southern merger</w:t>
      </w:r>
      <w:r>
        <w:t xml:space="preserve"> </w:t>
      </w:r>
      <w:r>
        <w:t xml:space="preserve">than by the P&amp;L. The print matters mostly as evidence that management can keep the standalone franchise humming while the regulatory clock runs.</w:t>
      </w:r>
    </w:p>
    <w:p>
      <w:r>
        <w:pict>
          <v:rect style="width:0;height:1.5pt" o:hralign="center" o:hrstd="t" o:hr="t"/>
        </w:pict>
      </w:r>
    </w:p>
    <w:bookmarkEnd w:id="10"/>
    <w:bookmarkStart w:id="11" w:name="what-the-street-expects-for-q2"/>
    <w:p>
      <w:pPr>
        <w:pStyle w:val="Heading2"/>
      </w:pPr>
      <w:r>
        <w:t xml:space="preserve">What the Street expects for Q2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Consensus</w:t>
            </w:r>
          </w:p>
        </w:tc>
        <w:tc>
          <w:tcPr/>
          <w:p>
            <w:pPr>
              <w:pStyle w:val="Compact"/>
            </w:pPr>
            <w:r>
              <w:t xml:space="preserve">Q2'25 Actual</w:t>
            </w:r>
          </w:p>
        </w:tc>
        <w:tc>
          <w:tcPr/>
          <w:p>
            <w:pPr>
              <w:pStyle w:val="Compact"/>
            </w:pPr>
            <w:r>
              <w:t xml:space="preserve">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w:r>
              <w:rPr>
                <w:b/>
                <w:bCs/>
              </w:rPr>
              <w:t xml:space="preserve">$3.20</w:t>
            </w:r>
            <w:r>
              <w:t xml:space="preserve"> </w:t>
            </w:r>
            <w:r>
              <w:t xml:space="preserve">(some models $3.14)</w:t>
            </w:r>
          </w:p>
        </w:tc>
        <w:tc>
          <w:tcPr/>
          <w:p>
            <w:pPr>
              <w:pStyle w:val="Compact"/>
            </w:pPr>
            <w:r>
              <w:t xml:space="preserve">$3.03</w:t>
            </w:r>
          </w:p>
        </w:tc>
        <w:tc>
          <w:tcPr/>
          <w:p>
            <w:pPr>
              <w:pStyle w:val="Compact"/>
            </w:pPr>
            <w:r>
              <w:t xml:space="preserve">+~5.6%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w:r>
              <w:rPr>
                <w:b/>
                <w:bCs/>
              </w:rPr>
              <w:t xml:space="preserve">$6.60B</w:t>
            </w:r>
          </w:p>
        </w:tc>
        <w:tc>
          <w:tcPr/>
          <w:p>
            <w:pPr>
              <w:pStyle w:val="Compact"/>
            </w:pPr>
            <w:r>
              <w:t xml:space="preserve">~$6.16B</w:t>
            </w:r>
          </w:p>
        </w:tc>
        <w:tc>
          <w:tcPr/>
          <w:p>
            <w:pPr>
              <w:pStyle w:val="Compact"/>
            </w:pPr>
            <w:r>
              <w:t xml:space="preserve">+~7.2%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ton-miles</w:t>
            </w:r>
          </w:p>
        </w:tc>
        <w:tc>
          <w:tcPr/>
          <w:p>
            <w:pPr>
              <w:pStyle w:val="Compact"/>
            </w:pPr>
            <w:r>
              <w:t xml:space="preserve">~110.0B</w:t>
            </w:r>
          </w:p>
        </w:tc>
        <w:tc>
          <w:tcPr/>
          <w:p>
            <w:pPr>
              <w:pStyle w:val="Compact"/>
            </w:pPr>
            <w:r>
              <w:t xml:space="preserve">107.6B</w:t>
            </w:r>
          </w:p>
        </w:tc>
        <w:tc>
          <w:tcPr/>
          <w:p>
            <w:pPr>
              <w:pStyle w:val="Compact"/>
            </w:pPr>
            <w:r>
              <w:t xml:space="preserve">+~2%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revenue</w:t>
            </w:r>
          </w:p>
        </w:tc>
        <w:tc>
          <w:tcPr/>
          <w:p>
            <w:pPr>
              <w:pStyle w:val="Compact"/>
            </w:pPr>
            <w:r>
              <w:t xml:space="preserve">~$306M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-1.6%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t xml:space="preserve">The Q2 EPS estimate has drifted</w:t>
      </w:r>
      <w:r>
        <w:t xml:space="preserve"> </w:t>
      </w:r>
      <w:r>
        <w:rPr>
          <w:b/>
          <w:bCs/>
        </w:rPr>
        <w:t xml:space="preserve">up ~2 cents to +6 cents over the past 30–60 days</w:t>
      </w:r>
      <w:r>
        <w:t xml:space="preserve">, a modestly positive revision trend into the print.</w:t>
      </w:r>
    </w:p>
    <w:p>
      <w:pPr>
        <w:pStyle w:val="Compact"/>
        <w:numPr>
          <w:ilvl w:val="0"/>
          <w:numId w:val="1001"/>
        </w:numPr>
      </w:pPr>
      <w:r>
        <w:t xml:space="preserve">Full-year 2026 consensus sits near **</w:t>
      </w:r>
      <m:oMath>
        <m:r>
          <m:t>12.55</m:t>
        </m:r>
        <m:r>
          <m:t>E</m:t>
        </m:r>
        <m:r>
          <m:t>P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 </m:t>
        </m:r>
        <m:r>
          <m:t>7.6</m:t>
        </m:r>
      </m:oMath>
      <w:r>
        <w:t xml:space="preserve">11.66), building to ~$13.51 in 2027 — consistent with management's high-single/low-double-digit 3-year CAGR framework.</w:t>
      </w:r>
    </w:p>
    <w:p>
      <w:pPr>
        <w:pStyle w:val="Compact"/>
        <w:numPr>
          <w:ilvl w:val="0"/>
          <w:numId w:val="1001"/>
        </w:numPr>
      </w:pPr>
      <w:r>
        <w:t xml:space="preserve">UNP has</w:t>
      </w:r>
      <w:r>
        <w:t xml:space="preserve"> </w:t>
      </w:r>
      <w:r>
        <w:rPr>
          <w:b/>
          <w:bCs/>
        </w:rPr>
        <w:t xml:space="preserve">beaten the EPS consensus in three of the last four quarters</w:t>
      </w:r>
      <w:r>
        <w:t xml:space="preserve">, so a modest headline beat would fit the pattern.</w:t>
      </w:r>
    </w:p>
    <w:p>
      <w:r>
        <w:pict>
          <v:rect style="width:0;height:1.5pt" o:hralign="center" o:hrstd="t" o:hr="t"/>
        </w:pict>
      </w:r>
    </w:p>
    <w:bookmarkEnd w:id="11"/>
    <w:bookmarkStart w:id="12" w:name="context-from-q1-2026-the-last-data-point"/>
    <w:p>
      <w:pPr>
        <w:pStyle w:val="Heading2"/>
      </w:pPr>
      <w:r>
        <w:t xml:space="preserve">Context from Q1 2026 (the last data point)</w:t>
      </w:r>
    </w:p>
    <w:p>
      <w:pPr>
        <w:pStyle w:val="FirstParagraph"/>
      </w:pPr>
      <w:r>
        <w:t xml:space="preserve">UNP set the bar high in Q1: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Reported EPS $2.87 (+6%); adjusted EPS $2.93 (+9%)</w:t>
      </w:r>
      <w:r>
        <w:t xml:space="preserve">, with</w:t>
      </w:r>
      <w:r>
        <w:t xml:space="preserve"> </w:t>
      </w:r>
      <m:oMath>
        <m:r>
          <m:t>36</m:t>
        </m:r>
        <m:r>
          <m:t>M</m:t>
        </m:r>
        <m:r>
          <m:rPr>
            <m:sty m:val="p"/>
          </m:rPr>
          <m:t>(</m:t>
        </m:r>
      </m:oMath>
      <w:r>
        <w:t xml:space="preserve">0.06) of merger costs excluded.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 $6.22B (+3%)</w:t>
      </w:r>
      <w:r>
        <w:t xml:space="preserve">; freight revenue</w:t>
      </w:r>
      <w:r>
        <w:t xml:space="preserve"> </w:t>
      </w:r>
      <w:r>
        <w:rPr>
          <w:b/>
          <w:bCs/>
        </w:rPr>
        <w:t xml:space="preserve">+4%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1% lower volume</w:t>
      </w:r>
      <w:r>
        <w:t xml:space="preserve"> </w:t>
      </w:r>
      <w:r>
        <w:t xml:space="preserve">— a pricing/mix-led quarter.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Adjusted operating ratio 59.9%, an 80 bp improvement</w:t>
      </w:r>
      <w:r>
        <w:t xml:space="preserve"> </w:t>
      </w:r>
      <w:r>
        <w:t xml:space="preserve">(reported OR 60.5%).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Record operating metrics</w:t>
      </w:r>
      <w:r>
        <w:t xml:space="preserve">: freight-car velocity +9%, terminal dwell 19.7 hrs (best ever), locomotive productivity +6%, workforce productivity +7% on a 5% smaller headcount, train length +3%.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FCF $631M</w:t>
      </w:r>
      <w:r>
        <w:t xml:space="preserve">; adjusted debt/EBITDA</w:t>
      </w:r>
      <w:r>
        <w:t xml:space="preserve"> </w:t>
      </w:r>
      <w:r>
        <w:rPr>
          <w:b/>
          <w:bCs/>
        </w:rPr>
        <w:t xml:space="preserve">2.5x</w:t>
      </w:r>
      <w:r>
        <w:t xml:space="preserve">; buybacks paused (they were $1.7B in Q1'25), dividends maintained.</w:t>
      </w:r>
    </w:p>
    <w:p>
      <w:pPr>
        <w:pStyle w:val="FirstParagraph"/>
      </w:pPr>
      <w:r>
        <w:t xml:space="preserve">Management</w:t>
      </w:r>
      <w:r>
        <w:t xml:space="preserve"> </w:t>
      </w:r>
      <w:r>
        <w:rPr>
          <w:b/>
          <w:bCs/>
        </w:rPr>
        <w:t xml:space="preserve">affirmed</w:t>
      </w:r>
      <w:r>
        <w:t xml:space="preserve"> </w:t>
      </w:r>
      <w:r>
        <w:t xml:space="preserve">2026 guidance: mid-single-digit</w:t>
      </w:r>
      <w:r>
        <w:t xml:space="preserve"> </w:t>
      </w:r>
      <w:r>
        <w:rPr>
          <w:i/>
          <w:iCs/>
        </w:rPr>
        <w:t xml:space="preserve">reported</w:t>
      </w:r>
      <w:r>
        <w:t xml:space="preserve"> </w:t>
      </w:r>
      <w:r>
        <w:t xml:space="preserve">EPS growth, OR improvement, $3.3B capex, and continued dividend growth. Note the deliberate shift to a</w:t>
      </w:r>
      <w:r>
        <w:t xml:space="preserve"> </w:t>
      </w:r>
      <w:r>
        <w:rPr>
          <w:b/>
          <w:bCs/>
        </w:rPr>
        <w:t xml:space="preserve">"reported" EPS</w:t>
      </w:r>
      <w:r>
        <w:t xml:space="preserve"> </w:t>
      </w:r>
      <w:r>
        <w:t xml:space="preserve">framing — it now bakes in merger costs and the absence of buybacks, so the optics are conservative.</w:t>
      </w:r>
    </w:p>
    <w:p>
      <w:r>
        <w:pict>
          <v:rect style="width:0;height:1.5pt" o:hralign="center" o:hrstd="t" o:hr="t"/>
        </w:pict>
      </w:r>
    </w:p>
    <w:bookmarkEnd w:id="12"/>
    <w:bookmarkStart w:id="13" w:name="key-things-to-watch-in-the-q2-print"/>
    <w:p>
      <w:pPr>
        <w:pStyle w:val="Heading2"/>
      </w:pPr>
      <w:r>
        <w:t xml:space="preserve">Key things to watch in the Q2 print</w:t>
      </w:r>
    </w:p>
    <w:p>
      <w:pPr>
        <w:pStyle w:val="FirstParagraph"/>
      </w:pPr>
      <w:r>
        <w:rPr>
          <w:b/>
          <w:bCs/>
        </w:rPr>
        <w:t xml:space="preserve">1. Fuel — the swing factor on margins.</w:t>
      </w:r>
      <w:r>
        <w:t xml:space="preserve"> </w:t>
      </w:r>
      <w:r>
        <w:t xml:space="preserve">Management flagged on the Q1 call that fuel would be a</w:t>
      </w:r>
      <w:r>
        <w:t xml:space="preserve"> </w:t>
      </w:r>
      <w:r>
        <w:rPr>
          <w:b/>
          <w:bCs/>
        </w:rPr>
        <w:t xml:space="preserve">Q2 headwind</w:t>
      </w:r>
      <w:r>
        <w:t xml:space="preserve">, with diesel running well above the original ~</w:t>
      </w:r>
      <m:oMath>
        <m:r>
          <m:t>2.35</m:t>
        </m:r>
        <m:r>
          <m:rPr>
            <m:sty m:val="p"/>
          </m:rPr>
          <m:t>/</m:t>
        </m:r>
        <m:r>
          <m:t>g</m:t>
        </m:r>
        <m:r>
          <m:t>a</m:t>
        </m:r>
        <m:r>
          <m:t>l</m:t>
        </m:r>
        <m:r>
          <m:t>p</m:t>
        </m:r>
        <m:r>
          <m:t>l</m:t>
        </m:r>
        <m:r>
          <m:t>a</m:t>
        </m:r>
        <m:r>
          <m:t>n</m:t>
        </m:r>
        <m:r>
          <m:t>n</m:t>
        </m:r>
        <m:r>
          <m:t>i</m:t>
        </m:r>
        <m:r>
          <m:t>n</m:t>
        </m:r>
        <m:r>
          <m:t>g</m:t>
        </m:r>
        <m:r>
          <m:t>a</m:t>
        </m:r>
        <m:r>
          <m:t>s</m:t>
        </m:r>
        <m:r>
          <m:t>s</m:t>
        </m:r>
        <m:r>
          <m:t>u</m:t>
        </m:r>
        <m:r>
          <m:t>m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p</m:t>
        </m:r>
        <m:r>
          <m:t>r</m:t>
        </m:r>
        <m:r>
          <m:t>e</m:t>
        </m:r>
        <m:r>
          <m:t>s</m:t>
        </m:r>
        <m:r>
          <m:t>s</m:t>
        </m:r>
        <m:r>
          <m:t>u</m:t>
        </m:r>
        <m:r>
          <m:t>r</m:t>
        </m:r>
        <m:r>
          <m:t>e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i</m:t>
        </m:r>
        <m:r>
          <m:t>n</m:t>
        </m:r>
        <m:r>
          <m:t>t</m:t>
        </m:r>
        <m:r>
          <m:t>e</m:t>
        </m:r>
        <m:r>
          <m:t>n</m:t>
        </m:r>
        <m:r>
          <m:t>s</m:t>
        </m:r>
        <m:r>
          <m:t>i</m:t>
        </m:r>
        <m:r>
          <m:t>f</m:t>
        </m:r>
        <m:r>
          <m:t>i</m:t>
        </m:r>
        <m:r>
          <m:t>e</m:t>
        </m:r>
        <m:r>
          <m:t>d</m:t>
        </m:r>
        <m:r>
          <m:rPr>
            <m:sty m:val="p"/>
          </m:rPr>
          <m:t>:</m:t>
        </m:r>
        <m:r>
          <m:t>r</m:t>
        </m:r>
        <m:r>
          <m:t>e</m:t>
        </m:r>
        <m:r>
          <m:t>n</m:t>
        </m:r>
        <m:r>
          <m:t>e</m:t>
        </m:r>
        <m:r>
          <m:t>w</m:t>
        </m:r>
        <m:r>
          <m:t>e</m:t>
        </m:r>
        <m:r>
          <m:t>d</m:t>
        </m:r>
        <m:r>
          <m:t>M</m:t>
        </m:r>
        <m:r>
          <m:t>i</m:t>
        </m:r>
        <m:r>
          <m:t>d</m:t>
        </m:r>
        <m:r>
          <m:t>d</m:t>
        </m:r>
        <m:r>
          <m:t>l</m:t>
        </m:r>
        <m:r>
          <m:t>e</m:t>
        </m:r>
        <m:r>
          <m:t>E</m:t>
        </m:r>
        <m:r>
          <m:t>a</m:t>
        </m:r>
        <m:r>
          <m:t>s</m:t>
        </m:r>
        <m:r>
          <m:t>t</m:t>
        </m:r>
        <m:r>
          <m:t>t</m:t>
        </m:r>
        <m:r>
          <m:t>e</m:t>
        </m:r>
        <m:r>
          <m:t>n</m:t>
        </m:r>
        <m:r>
          <m:t>s</m:t>
        </m:r>
        <m:r>
          <m:t>i</m:t>
        </m:r>
        <m:r>
          <m:t>o</m:t>
        </m:r>
        <m:r>
          <m:t>n</m:t>
        </m:r>
        <m:r>
          <m:t>s</m:t>
        </m:r>
        <m:r>
          <m:t>h</m:t>
        </m:r>
        <m:r>
          <m:t>a</m:t>
        </m:r>
        <m:r>
          <m:t>v</m:t>
        </m:r>
        <m:r>
          <m:t>e</m:t>
        </m:r>
        <m:r>
          <m:t>p</m:t>
        </m:r>
        <m:r>
          <m:t>u</m:t>
        </m:r>
        <m:r>
          <m:t>s</m:t>
        </m:r>
        <m:r>
          <m:t>h</m:t>
        </m:r>
        <m:r>
          <m:t>e</m:t>
        </m:r>
        <m:r>
          <m:t>d</m:t>
        </m:r>
        <m:r>
          <m:t>c</m:t>
        </m:r>
        <m:r>
          <m:t>r</m:t>
        </m:r>
        <m:r>
          <m:t>u</m:t>
        </m:r>
        <m:r>
          <m:t>d</m:t>
        </m:r>
        <m:r>
          <m:t>e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r</m:t>
        </m:r>
        <m:r>
          <m:rPr>
            <m:sty m:val="p"/>
          </m:rPr>
          <m:t>(</m:t>
        </m:r>
        <m:r>
          <m:t>B</m:t>
        </m:r>
        <m:r>
          <m:t>r</m:t>
        </m:r>
        <m:r>
          <m:t>e</m:t>
        </m:r>
        <m:r>
          <m:t>n</m:t>
        </m:r>
        <m:r>
          <m:t>t</m:t>
        </m:r>
        <m:r>
          <m:t> </m:t>
        </m:r>
      </m:oMath>
      <w:r>
        <w:t xml:space="preserve">95, WTI ~$87) in July. Watch whether higher fuel surcharge revenue offsets the OR drag, and whether the full-year OR-improvement commitment holds.</w:t>
      </w:r>
    </w:p>
    <w:p>
      <w:pPr>
        <w:pStyle w:val="BodyText"/>
      </w:pPr>
      <w:r>
        <w:rPr>
          <w:b/>
          <w:bCs/>
        </w:rPr>
        <w:t xml:space="preserve">2. Volume mix and the "freight recession" question.</w:t>
      </w:r>
      <w:r>
        <w:t xml:space="preserve"> </w:t>
      </w:r>
      <w:r>
        <w:t xml:space="preserve">The Q1 script by segment: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Bulk strong</w:t>
      </w:r>
      <w:r>
        <w:t xml:space="preserve"> </w:t>
      </w:r>
      <w:r>
        <w:t xml:space="preserve">— coal (+17% revenue) on utility demand/natural gas pricing, and record grain (+11%) on China rebound and Mexico expansion.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Industrial solid (+5%)</w:t>
      </w:r>
      <w:r>
        <w:t xml:space="preserve"> </w:t>
      </w:r>
      <w:r>
        <w:t xml:space="preserve">— construction (LNG terminals, data centers), petrochemicals; watch for the Golden Triangle/CPChem facility ramp in Q3.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Premium weak (-5%)</w:t>
      </w:r>
      <w:r>
        <w:t xml:space="preserve"> </w:t>
      </w:r>
      <w:r>
        <w:t xml:space="preserve">— intermodal -6%, with</w:t>
      </w:r>
      <w:r>
        <w:t xml:space="preserve"> </w:t>
      </w:r>
      <w:r>
        <w:rPr>
          <w:b/>
          <w:bCs/>
        </w:rPr>
        <w:t xml:space="preserve">international intermodal down 28%</w:t>
      </w:r>
      <w:r>
        <w:t xml:space="preserve"> </w:t>
      </w:r>
      <w:r>
        <w:t xml:space="preserve">on soft West Coast imports; domestic intermodal setting records on truck conversions;</w:t>
      </w:r>
      <w:r>
        <w:t xml:space="preserve"> </w:t>
      </w:r>
      <w:r>
        <w:rPr>
          <w:b/>
          <w:bCs/>
        </w:rPr>
        <w:t xml:space="preserve">automotive soft</w:t>
      </w:r>
      <w:r>
        <w:t xml:space="preserve">. Key watch: whether tightening truck markets and easing comps inflect intermodal positively.</w:t>
      </w:r>
    </w:p>
    <w:p>
      <w:pPr>
        <w:pStyle w:val="FirstParagraph"/>
      </w:pPr>
      <w:r>
        <w:rPr>
          <w:b/>
          <w:bCs/>
        </w:rPr>
        <w:t xml:space="preserve">3. Pricing above inflation.</w:t>
      </w:r>
      <w:r>
        <w:t xml:space="preserve"> </w:t>
      </w:r>
      <w:r>
        <w:t xml:space="preserve">Management has repeatedly committed that quarterly pricing dollars exceed inflation dollars. Given only ~1–2% volume growth, price/mix is doing the heavy lifting — confirm it's still intact, especially in competitive ag and gas-indexed coal.</w:t>
      </w:r>
    </w:p>
    <w:p>
      <w:pPr>
        <w:pStyle w:val="BodyText"/>
      </w:pPr>
      <w:r>
        <w:rPr>
          <w:b/>
          <w:bCs/>
        </w:rPr>
        <w:t xml:space="preserve">4. Productivity/headcount.</w:t>
      </w:r>
      <w:r>
        <w:t xml:space="preserve"> </w:t>
      </w:r>
      <w:r>
        <w:t xml:space="preserve">Record workforce productivity has been the margin engine. Watch whether headcount stays "more than volume-variable" and whether the incremental-margin story survives the fuel headwind.</w:t>
      </w:r>
    </w:p>
    <w:p>
      <w:r>
        <w:pict>
          <v:rect style="width:0;height:1.5pt" o:hralign="center" o:hrstd="t" o:hr="t"/>
        </w:pict>
      </w:r>
    </w:p>
    <w:bookmarkEnd w:id="13"/>
    <w:bookmarkStart w:id="14" w:name="X126d6b1f761fa37e4d449e1528674af0d9e8ea0"/>
    <w:p>
      <w:pPr>
        <w:pStyle w:val="Heading2"/>
      </w:pPr>
      <w:r>
        <w:t xml:space="preserve">The real driver: the Norfolk Southern merger</w:t>
      </w:r>
    </w:p>
    <w:p>
      <w:pPr>
        <w:pStyle w:val="FirstParagraph"/>
      </w:pPr>
      <w:r>
        <w:t xml:space="preserve">The ~$85B UP/NS combination to create the first U.S. transcontinental railroad is the dominant catalyst. Timeline to date: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Jul 19, 2025:</w:t>
      </w:r>
      <w:r>
        <w:t xml:space="preserve"> </w:t>
      </w:r>
      <w:r>
        <w:t xml:space="preserve">merger agreement announced.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Dec 19, 2025:</w:t>
      </w:r>
      <w:r>
        <w:t xml:space="preserve"> </w:t>
      </w:r>
      <w:r>
        <w:t xml:space="preserve">joint application filed with the STB.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Jan 16, 2026:</w:t>
      </w:r>
      <w:r>
        <w:t xml:space="preserve"> </w:t>
      </w:r>
      <w:r>
        <w:t xml:space="preserve">STB rejected the application as</w:t>
      </w:r>
      <w:r>
        <w:t xml:space="preserve"> </w:t>
      </w:r>
      <w:r>
        <w:rPr>
          <w:b/>
          <w:bCs/>
        </w:rPr>
        <w:t xml:space="preserve">incomplete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Apr 30, 2026:</w:t>
      </w:r>
      <w:r>
        <w:t xml:space="preserve"> </w:t>
      </w:r>
      <w:r>
        <w:t xml:space="preserve">revised application filed.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May 28, 2026:</w:t>
      </w:r>
      <w:r>
        <w:t xml:space="preserve"> </w:t>
      </w:r>
      <w:r>
        <w:t xml:space="preserve">STB</w:t>
      </w:r>
      <w:r>
        <w:t xml:space="preserve"> </w:t>
      </w:r>
      <w:r>
        <w:rPr>
          <w:b/>
          <w:bCs/>
        </w:rPr>
        <w:t xml:space="preserve">accepted</w:t>
      </w:r>
      <w:r>
        <w:t xml:space="preserve"> </w:t>
      </w:r>
      <w:r>
        <w:t xml:space="preserve">the revised application but</w:t>
      </w:r>
      <w:r>
        <w:t xml:space="preserve"> </w:t>
      </w:r>
      <w:r>
        <w:rPr>
          <w:b/>
          <w:bCs/>
        </w:rPr>
        <w:t xml:space="preserve">held proceedings in abeyance</w:t>
      </w:r>
      <w:r>
        <w:t xml:space="preserve">, ordering supplemental information (environmental review paused).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Jul 7, 2026:</w:t>
      </w:r>
      <w:r>
        <w:t xml:space="preserve"> </w:t>
      </w:r>
      <w:r>
        <w:t xml:space="preserve">UP/NS submitted the</w:t>
      </w:r>
      <w:r>
        <w:t xml:space="preserve"> </w:t>
      </w:r>
      <w:r>
        <w:rPr>
          <w:b/>
          <w:bCs/>
        </w:rPr>
        <w:t xml:space="preserve">first round of responses</w:t>
      </w:r>
      <w:r>
        <w:t xml:space="preserve">; the next tranche of supplemental info is due to the STB by</w:t>
      </w:r>
      <w:r>
        <w:t xml:space="preserve"> </w:t>
      </w:r>
      <w:r>
        <w:rPr>
          <w:b/>
          <w:bCs/>
        </w:rPr>
        <w:t xml:space="preserve">~July 27, 2026</w:t>
      </w:r>
      <w:r>
        <w:t xml:space="preserve"> </w:t>
      </w:r>
      <w:r>
        <w:t xml:space="preserve">— i.e., just days after this earnings call.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Expected approval:</w:t>
      </w:r>
      <w:r>
        <w:t xml:space="preserve"> </w:t>
      </w:r>
      <w:r>
        <w:t xml:space="preserve">management targets</w:t>
      </w:r>
      <w:r>
        <w:t xml:space="preserve"> </w:t>
      </w:r>
      <w:r>
        <w:rPr>
          <w:b/>
          <w:bCs/>
        </w:rPr>
        <w:t xml:space="preserve">~Q2 2027</w:t>
      </w:r>
      <w:r>
        <w:t xml:space="preserve">. A</w:t>
      </w:r>
      <w:r>
        <w:t xml:space="preserve"> </w:t>
      </w:r>
      <w:r>
        <w:rPr>
          <w:b/>
          <w:bCs/>
        </w:rPr>
        <w:t xml:space="preserve">$2.5B termination fee</w:t>
      </w:r>
      <w:r>
        <w:t xml:space="preserve"> </w:t>
      </w:r>
      <w:r>
        <w:t xml:space="preserve">applies under certain conditions.</w:t>
      </w:r>
    </w:p>
    <w:p>
      <w:pPr>
        <w:pStyle w:val="FirstParagraph"/>
      </w:pPr>
      <w:r>
        <w:t xml:space="preserve">On the call, expect heavy Q&amp;A on: STB process/timing, the abeyance and supplemental-info requirements, competitor objections (CSX, CPKC, BNSF), the</w:t>
      </w:r>
      <w:r>
        <w:t xml:space="preserve"> </w:t>
      </w:r>
      <w:r>
        <w:rPr>
          <w:b/>
          <w:bCs/>
        </w:rPr>
        <w:t xml:space="preserve">"committed gateway pricing"</w:t>
      </w:r>
      <w:r>
        <w:t xml:space="preserve"> </w:t>
      </w:r>
      <w:r>
        <w:t xml:space="preserve">concept UP is using to argue the deal</w:t>
      </w:r>
      <w:r>
        <w:t xml:space="preserve"> </w:t>
      </w:r>
      <w:r>
        <w:rPr>
          <w:i/>
          <w:iCs/>
        </w:rPr>
        <w:t xml:space="preserve">enhances</w:t>
      </w:r>
      <w:r>
        <w:t xml:space="preserve"> </w:t>
      </w:r>
      <w:r>
        <w:t xml:space="preserve">competition, the</w:t>
      </w:r>
      <w:r>
        <w:t xml:space="preserve"> </w:t>
      </w:r>
      <w:r>
        <w:rPr>
          <w:b/>
          <w:bCs/>
        </w:rPr>
        <w:t xml:space="preserve">ironclad union job guarantee</w:t>
      </w:r>
      <w:r>
        <w:t xml:space="preserve">, and integration risk (management leans on the ~2-year-old NetControl systems cutover as proof of execution capability). CEO Jim Vena has said the company is running the merger process and the railroad as</w:t>
      </w:r>
      <w:r>
        <w:t xml:space="preserve"> </w:t>
      </w:r>
      <w:r>
        <w:rPr>
          <w:b/>
          <w:bCs/>
        </w:rPr>
        <w:t xml:space="preserve">separate workstreams</w:t>
      </w:r>
      <w:r>
        <w:t xml:space="preserve"> </w:t>
      </w:r>
      <w:r>
        <w:t xml:space="preserve">and remains "more convicted" on approval.</w:t>
      </w:r>
    </w:p>
    <w:p>
      <w:pPr>
        <w:pStyle w:val="BodyText"/>
      </w:pPr>
      <w:r>
        <w:rPr>
          <w:b/>
          <w:bCs/>
        </w:rPr>
        <w:t xml:space="preserve">Capital-return implication:</w:t>
      </w:r>
      <w:r>
        <w:t xml:space="preserve"> </w:t>
      </w:r>
      <w:r>
        <w:t xml:space="preserve">buybacks stay paused through the deal, and the merger costs/share dilution are why guidance is framed on a reported basis. That's a near-term EPS/return headwind investors should keep in mind.</w:t>
      </w:r>
    </w:p>
    <w:p>
      <w:r>
        <w:pict>
          <v:rect style="width:0;height:1.5pt" o:hralign="center" o:hrstd="t" o:hr="t"/>
        </w:pict>
      </w:r>
    </w:p>
    <w:bookmarkEnd w:id="14"/>
    <w:bookmarkStart w:id="15" w:name="valuation--sentiment"/>
    <w:p>
      <w:pPr>
        <w:pStyle w:val="Heading2"/>
      </w:pPr>
      <w:r>
        <w:t xml:space="preserve">Valuation &amp; sentiment</w:t>
      </w:r>
    </w:p>
    <w:p>
      <w:pPr>
        <w:pStyle w:val="Compact"/>
        <w:numPr>
          <w:ilvl w:val="0"/>
          <w:numId w:val="1005"/>
        </w:numPr>
      </w:pPr>
      <w:r>
        <w:t xml:space="preserve">Sentiment is</w:t>
      </w:r>
      <w:r>
        <w:t xml:space="preserve"> </w:t>
      </w:r>
      <w:r>
        <w:rPr>
          <w:b/>
          <w:bCs/>
        </w:rPr>
        <w:t xml:space="preserve">bullish on the rails</w:t>
      </w:r>
      <w:r>
        <w:t xml:space="preserve"> </w:t>
      </w:r>
      <w:r>
        <w:t xml:space="preserve">on favorable volume trends and consolidation-driven pricing power, but</w:t>
      </w:r>
      <w:r>
        <w:t xml:space="preserve"> </w:t>
      </w:r>
      <w:r>
        <w:rPr>
          <w:b/>
          <w:bCs/>
        </w:rPr>
        <w:t xml:space="preserve">sector valuations have become rich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Sell-side price targets have been climbing into the print:</w:t>
      </w:r>
      <w:r>
        <w:t xml:space="preserve"> </w:t>
      </w:r>
      <w:r>
        <w:rPr>
          <w:b/>
          <w:bCs/>
        </w:rPr>
        <w:t xml:space="preserve">Raymond James $363, Susquehanna $333, JPMorgan $304, Evercore ISI $294</w:t>
      </w:r>
      <w:r>
        <w:t xml:space="preserve">, among recent raises.</w:t>
      </w:r>
    </w:p>
    <w:p>
      <w:pPr>
        <w:pStyle w:val="Compact"/>
        <w:numPr>
          <w:ilvl w:val="0"/>
          <w:numId w:val="1005"/>
        </w:numPr>
      </w:pPr>
      <w:r>
        <w:t xml:space="preserve">With the stock near highs (~$293) and having rallied ~3.5% on July 16 alongside the group, the</w:t>
      </w:r>
      <w:r>
        <w:t xml:space="preserve"> </w:t>
      </w:r>
      <w:r>
        <w:rPr>
          <w:b/>
          <w:bCs/>
        </w:rPr>
        <w:t xml:space="preserve">bar is elevated</w:t>
      </w:r>
      <w:r>
        <w:t xml:space="preserve">: a clean beat with affirmed guidance may already be priced, and the reaction will likely hinge on</w:t>
      </w:r>
      <w:r>
        <w:t xml:space="preserve"> </w:t>
      </w:r>
      <w:r>
        <w:rPr>
          <w:b/>
          <w:bCs/>
        </w:rPr>
        <w:t xml:space="preserve">merger commentary and the fuel/OR trajectory</w:t>
      </w:r>
      <w:r>
        <w:t xml:space="preserve"> </w:t>
      </w:r>
      <w:r>
        <w:t xml:space="preserve">more than the headline EPS.</w:t>
      </w:r>
    </w:p>
    <w:p>
      <w:r>
        <w:pict>
          <v:rect style="width:0;height:1.5pt" o:hralign="center" o:hrstd="t" o:hr="t"/>
        </w:pict>
      </w:r>
    </w:p>
    <w:bookmarkEnd w:id="15"/>
    <w:bookmarkStart w:id="16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Expect another operationally excellent quarter — likely a modest EPS beat (~</w:t>
      </w:r>
      <m:oMath>
        <m:r>
          <m:t>3.20</m:t>
        </m:r>
        <m:r>
          <m:rPr>
            <m:sty m:val="p"/>
          </m:rPr>
          <m:t>)</m:t>
        </m:r>
        <m:r>
          <m:t>o</m:t>
        </m:r>
        <m:r>
          <m:t>n</m:t>
        </m:r>
        <m:r>
          <m:t> </m:t>
        </m:r>
      </m:oMath>
      <w:r>
        <w:t xml:space="preserve">6.6B revenue, record-ish service metrics, and reaffirmed guidance — with</w:t>
      </w:r>
      <w:r>
        <w:t xml:space="preserve"> </w:t>
      </w:r>
      <w:r>
        <w:rPr>
          <w:b/>
          <w:bCs/>
        </w:rPr>
        <w:t xml:space="preserve">fuel the main risk to the operating ratio</w:t>
      </w:r>
      <w:r>
        <w:t xml:space="preserve"> </w:t>
      </w:r>
      <w:r>
        <w:t xml:space="preserve">given the recent oil spike. But the stock is a</w:t>
      </w:r>
      <w:r>
        <w:t xml:space="preserve"> </w:t>
      </w:r>
      <w:r>
        <w:rPr>
          <w:b/>
          <w:bCs/>
        </w:rPr>
        <w:t xml:space="preserve">merger story trading on rich multiples</w:t>
      </w:r>
      <w:r>
        <w:t xml:space="preserve">, so the market's verdict will rest on (1) any read on STB timing/process ahead of the July 27 supplemental filing, (2) whether the OR-improvement and pricing-above-inflation commitments survive the fuel headwind, and (3) intermodal/coal/grain volume momentum. Watch the guidance language closely — anything short of a confident reaffirmation, on either standalone results or the deal, could disappoint a stock priced for both to go right.</w:t>
      </w:r>
    </w:p>
    <w:p>
      <w:pPr>
        <w:pStyle w:val="BodyText"/>
      </w:pPr>
      <w:r>
        <w:rPr>
          <w:i/>
          <w:iCs/>
        </w:rPr>
        <w:t xml:space="preserve">Note: figures reflect company filings/transcripts and consensus data compiled ahead of the report; actuals may differ.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2026-07-23T00:32:37Z</dcterms:created>
  <dcterms:modified xsi:type="dcterms:W3CDTF">2026-07-23T00:32:37Z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