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p-earnings-predictions--2026-07-23"/>
    <w:p>
      <w:pPr>
        <w:pStyle w:val="Heading1"/>
      </w:pPr>
      <w:r>
        <w:t xml:space="preserve">UNP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~$3.22 vs. cons $3.17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~59.3% vs. cons 58.7% (higher/worse OR)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~$6.68B vs. cons $6.62B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reported EPS growth vs. cons mid-single-digit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Ratio improvement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~continued OR improvement (~50-100bps) vs. cons ~75bps improvement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Fuel price assumption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~$3.90-4.10/gal updated assumption vs. cons/original $2.35/gal (FY2026, i.e. a bigger headwind than originally guided)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NS merger timeline/STB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~STB decision still expected Q2 2027 vs. cons expectation of Q2 2027 (post July 27, 2026 supplemental filing deadline)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-0.7% (FADE)</w:t>
            </w:r>
          </w:p>
        </w:tc>
        <w:tc>
          <w:tcPr/>
          <w:p>
            <w:pPr>
              <w:pStyle w:val="Compact"/>
            </w:pPr>
            <w:r>
              <w:t xml:space="preserve">Headline EPS/revenue beat likely driven by pricing/mix rather than volume, with fuel cost headwind pressuring OR exactly as flagged last quarter; any OR miss or cautious fuel/cost commentary will pull down out-quarter estimates even after a top-line beat. Additionally, the stock has run up ~25%+ YTD to near all-time highs, raising the bar for follow-through, and the STB supplemental-information deadline (July 27) sits just 4 days after the print, keeping merger-related uncertainty elevated and likely capping/reversing any initial pop as investors refocus on regulatory risk rather than the quarter itself.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2026-07-23T00:36:59Z</dcterms:created>
  <dcterms:modified xsi:type="dcterms:W3CDTF">2026-07-23T00:36:59Z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