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I have enough data now to write a comprehensive earnings preview.# Union Pacific (UNP) Q2 2026 Earnings Preview</w:t>
      </w:r>
      <w:r>
        <w:t xml:space="preserve"> </w:t>
      </w:r>
      <w:r>
        <w:rPr>
          <w:b/>
          <w:bCs/>
        </w:rPr>
        <w:t xml:space="preserve">Report Date:</w:t>
      </w:r>
      <w:r>
        <w:t xml:space="preserve"> </w:t>
      </w:r>
      <w:r>
        <w:t xml:space="preserve">Thursday, July 23, 2026 (before market open) |</w:t>
      </w:r>
      <w:r>
        <w:t xml:space="preserve"> </w:t>
      </w:r>
      <w:r>
        <w:rPr>
          <w:b/>
          <w:bCs/>
        </w:rPr>
        <w:t xml:space="preserve">Conference Call:</w:t>
      </w:r>
      <w:r>
        <w:t xml:space="preserve"> </w:t>
      </w:r>
      <w:r>
        <w:t xml:space="preserve">8:45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UNP shares have had a strong run into earnings, rallying from roughly $232 in early January to nearly</w:t>
      </w:r>
      <w:r>
        <w:t xml:space="preserve"> </w:t>
      </w:r>
      <m:oMath>
        <m:r>
          <m:t>293</m:t>
        </m:r>
        <m:r>
          <m:t>c</m:t>
        </m:r>
        <m:r>
          <m:t>u</m:t>
        </m:r>
        <m:r>
          <m:t>r</m:t>
        </m:r>
        <m:r>
          <m:t>r</m:t>
        </m:r>
        <m:r>
          <m:t>e</m:t>
        </m:r>
        <m:r>
          <m:t>n</m:t>
        </m:r>
        <m:r>
          <m:t>t</m:t>
        </m:r>
        <m:r>
          <m:t>l</m:t>
        </m:r>
        <m:r>
          <m:t>y</m:t>
        </m:r>
        <m:r>
          <m:rPr>
            <m:sty m:val="p"/>
          </m:rPr>
          <m:t>—</m:t>
        </m:r>
        <m:r>
          <m:t>i</m:t>
        </m:r>
        <m:r>
          <m:t>n</m:t>
        </m:r>
        <m:r>
          <m:t>c</m:t>
        </m:r>
        <m:r>
          <m:t>l</m:t>
        </m:r>
        <m:r>
          <m:t>u</m:t>
        </m:r>
        <m:r>
          <m:t>d</m:t>
        </m:r>
        <m:r>
          <m:t>i</m:t>
        </m:r>
        <m:r>
          <m:t>n</m:t>
        </m:r>
        <m:r>
          <m:t>g</m:t>
        </m:r>
        <m:r>
          <m:t>a</m:t>
        </m:r>
        <m:r>
          <m:t>s</m:t>
        </m:r>
        <m:r>
          <m:t>h</m:t>
        </m:r>
        <m:r>
          <m:t>a</m:t>
        </m:r>
        <m:r>
          <m:t>r</m:t>
        </m:r>
        <m:r>
          <m:t>p</m:t>
        </m:r>
        <m:r>
          <m:t>m</m:t>
        </m:r>
        <m:r>
          <m:t>o</m:t>
        </m:r>
        <m:r>
          <m:t>v</m:t>
        </m:r>
        <m:r>
          <m:t>e</m:t>
        </m:r>
        <m:r>
          <m:t>f</m:t>
        </m:r>
        <m:r>
          <m:t>r</m:t>
        </m:r>
        <m:r>
          <m:t>o</m:t>
        </m:r>
        <m:r>
          <m:t>m</m:t>
        </m:r>
        <m:r>
          <m:t> </m:t>
        </m:r>
      </m:oMath>
      <w:r>
        <w:t xml:space="preserve">278 to a 52-week-plus high near $302 in mid-July before pulling back slightly over the past two sessions. That momentum reflects a broader market view that sentiment is bullish on the rails due to favorable volume trends and industry consolidation, which could enhance pricing power, though sector valuations have become rich.</w:t>
      </w:r>
    </w:p>
    <w:p>
      <w:pPr>
        <w:pStyle w:val="BodyText"/>
      </w:pPr>
      <w:r>
        <w:t xml:space="preserve">Consensus for Q2 2026 calls for</w:t>
      </w:r>
      <w:r>
        <w:t xml:space="preserve"> </w:t>
      </w:r>
      <w:r>
        <w:rPr>
          <w:b/>
          <w:bCs/>
        </w:rPr>
        <w:t xml:space="preserve">EPS of roughly</w:t>
      </w:r>
      <w:r>
        <w:rPr>
          <w:b/>
          <w:bCs/>
        </w:rPr>
        <w:t xml:space="preserve"> </w:t>
      </w:r>
      <m:oMath>
        <m:r>
          <m:t>3.14</m:t>
        </m:r>
        <m:r>
          <m:rPr>
            <m:sty m:val="p"/>
          </m:rPr>
          <m:t>–</m:t>
        </m:r>
      </m:oMath>
      <w:r>
        <w:rPr>
          <w:b/>
          <w:bCs/>
        </w:rPr>
        <w:t xml:space="preserve">3.20</w:t>
      </w:r>
      <w:r>
        <w:t xml:space="preserve"> </w:t>
      </w:r>
      <w:r>
        <w:t xml:space="preserve">(vs.</w:t>
      </w:r>
      <w:r>
        <w:t xml:space="preserve"> </w:t>
      </w:r>
      <m:oMath>
        <m:r>
          <m:t>3.03</m:t>
        </m:r>
        <m:r>
          <m:t>a</m:t>
        </m:r>
        <m:r>
          <m:t>y</m:t>
        </m:r>
        <m:r>
          <m:t>e</m:t>
        </m:r>
        <m:r>
          <m:t>a</m:t>
        </m:r>
        <m:r>
          <m:t>r</m:t>
        </m:r>
        <m:r>
          <m:t>a</m:t>
        </m:r>
        <m:r>
          <m:t>g</m:t>
        </m:r>
        <m:r>
          <m:t>o</m:t>
        </m:r>
        <m:r>
          <m:rPr>
            <m:sty m:val="p"/>
          </m:rPr>
          <m:t>,</m:t>
        </m:r>
        <m:r>
          <m:rPr>
            <m:sty m:val="p"/>
          </m:rPr>
          <m:t>+</m:t>
        </m:r>
        <m:r>
          <m:t>4</m:t>
        </m:r>
        <m:r>
          <m:rPr>
            <m:sty m:val="p"/>
          </m:rPr>
          <m:t>–</m:t>
        </m:r>
        <m:r>
          <m:t>6</m:t>
        </m:r>
      </m:oMath>
      <w:r>
        <w:t xml:space="preserve">6.6–6.65 billion** (+7–8% y/y). Analysts have been raising numbers into the print — the Zacks estimate has moved up 1.9% over 60 days — and UNP has beaten Street EPS estimates in three of the last four quarters. Wall Street sentiment is skewed positive, with a "Moderate Buy" consensus (roughly 13-14 Buy/Outperform ratings vs. 7 Hold and 1 Underperform) and price targets clustering around</w:t>
      </w:r>
      <w:r>
        <w:t xml:space="preserve"> </w:t>
      </w:r>
      <m:oMath>
        <m:r>
          <m:t>292</m:t>
        </m:r>
        <m:r>
          <m:rPr>
            <m:sty m:val="p"/>
          </m:rPr>
          <m:t>−</m:t>
        </m:r>
      </m:oMath>
      <w:r>
        <w:t xml:space="preserve">314, with Evercore ISI's Jonathan Chappell among the more bullish, having recently raised his target to $294.</w:t>
      </w:r>
    </w:p>
    <w:bookmarkEnd w:id="9"/>
    <w:bookmarkStart w:id="10" w:name="what-happened-last-quarter-q1-2026-recap"/>
    <w:p>
      <w:pPr>
        <w:pStyle w:val="Heading2"/>
      </w:pPr>
      <w:r>
        <w:t xml:space="preserve">What Happened Last Quarter (Q1 2026 Recap)</w:t>
      </w:r>
    </w:p>
    <w:p>
      <w:pPr>
        <w:pStyle w:val="FirstParagraph"/>
      </w:pPr>
      <w:r>
        <w:t xml:space="preserve">UNP kicked off 2026 with record results: reported net income of $1.7 billion, grew 5%; earnings per share of $2.87, increased 6%; and improved operating ratio. Excluding merger costs, adjusted net income was up 7%, EPS of $2.93, increased 9%; and operating ratio improved 80 basis points to 59.9%. Revenue growth was driven almost entirely by pricing and mix rather than volume — operating revenue of $6.2 billion increased 3% versus last year as freight revenue of $5.9 billion grew 4% on 1% lower volume... Core pricing combined with business mix drove 325 basis points to freight revenue improvement. Operationally, the network is running about as well as it ever has, with first quarter records in all 6 key performance and efficiency metrics... Freight car velocity increased 9% to 235 miles per day... best-ever terminal dwell of 19.7 hours.</w:t>
      </w:r>
    </w:p>
    <w:p>
      <w:pPr>
        <w:pStyle w:val="BodyText"/>
      </w:pPr>
      <w:r>
        <w:t xml:space="preserve">Management affirmed full-year 2026 guidance of mid-single-digit reported EPS growth, continued operating-ratio improvement, and reaffirmed the multi-year target of high single-digit to low double-digit EPS growth throughout 2027.</w:t>
      </w:r>
    </w:p>
    <w:bookmarkEnd w:id="10"/>
    <w:bookmarkStart w:id="11" w:name="key-things-to-watch-this-quarter"/>
    <w:p>
      <w:pPr>
        <w:pStyle w:val="Heading2"/>
      </w:pPr>
      <w:r>
        <w:t xml:space="preserve">Key Things to Watch This Quarter</w:t>
      </w:r>
    </w:p>
    <w:p>
      <w:pPr>
        <w:pStyle w:val="FirstParagraph"/>
      </w:pPr>
      <w:r>
        <w:rPr>
          <w:b/>
          <w:bCs/>
        </w:rPr>
        <w:t xml:space="preserve">1. Fuel cost headwind.</w:t>
      </w:r>
      <w:r>
        <w:t xml:space="preserve"> </w:t>
      </w:r>
      <w:r>
        <w:t xml:space="preserve">This is likely the single biggest swing factor for Q2 margins. On the Q1 call, CFO Jennifer Hamann flagged that fuel will definitely be a headwind, particularly here in the second quarter... we're paying a little north of $4 a gallon right now here in April... that will certainly pressure margins, particularly here in the second quarter, even as she reiterated confidence in full-year operating-ratio improvement thanks to productivity and pricing offsets. Watch whether the reported OR held up despite this pressure, and management's updated full-year fuel assumption (original guide was $2.35/gallon, since deemed "much harder to predict").</w:t>
      </w:r>
    </w:p>
    <w:p>
      <w:pPr>
        <w:pStyle w:val="BodyText"/>
      </w:pPr>
      <w:r>
        <w:rPr>
          <w:b/>
          <w:bCs/>
        </w:rPr>
        <w:t xml:space="preserve">2. Volume/mix trends by segment.</w:t>
      </w:r>
      <w:r>
        <w:t xml:space="preserve"> </w:t>
      </w:r>
      <w:r>
        <w:t xml:space="preserve">In Q1, Bulk (grain, coal) and Industrial were the standouts, while Premium (intermodal, automotive) was soft, largely due to a 28% y/y decline in international intermodal and weak auto SAAR. Watch for: continued strength in grain exports to China/Mexico, coal resilience tied to natural gas pricing, industrial demand from data centers/LNG construction (including the Golden Triangle Polymers JV startup expected in Q3), and whether domestic intermodal's record streak (three consecutive record quarters as of Q1) continued. The read-through from peer</w:t>
      </w:r>
      <w:r>
        <w:t xml:space="preserve"> </w:t>
      </w:r>
      <w:r>
        <w:rPr>
          <w:b/>
          <w:bCs/>
        </w:rPr>
        <w:t xml:space="preserve">CSX</w:t>
      </w:r>
      <w:r>
        <w:t xml:space="preserve">, which reported today (July 22) with</w:t>
      </w:r>
      <w:r>
        <w:t xml:space="preserve"> </w:t>
      </w:r>
      <w:r>
        <w:rPr>
          <w:b/>
          <w:bCs/>
        </w:rPr>
        <w:t xml:space="preserve">record revenue of $3.94 billion (+10% y/y), volume up 6%, and intermodal volume up 9%</w:t>
      </w:r>
      <w:r>
        <w:t xml:space="preserve">, is a constructive signal for broader rail demand heading into UNP's print.</w:t>
      </w:r>
    </w:p>
    <w:p>
      <w:pPr>
        <w:pStyle w:val="BodyText"/>
      </w:pPr>
      <w:r>
        <w:rPr>
          <w:b/>
          <w:bCs/>
        </w:rPr>
        <w:t xml:space="preserve">3. Broader rail freight backdrop.</w:t>
      </w:r>
      <w:r>
        <w:t xml:space="preserve"> </w:t>
      </w:r>
      <w:r>
        <w:t xml:space="preserve">AAR weekly data has shown a modestly positive volume environment through July, with cumulative U.S. carloads up roughly 3% and intermodal units up roughly 3.6% year-to-date — a tailwind, though not a blowout, macro setup.</w:t>
      </w:r>
    </w:p>
    <w:p>
      <w:pPr>
        <w:pStyle w:val="BodyText"/>
      </w:pPr>
      <w:r>
        <w:rPr>
          <w:b/>
          <w:bCs/>
        </w:rPr>
        <w:t xml:space="preserve">4. Capital returns.</w:t>
      </w:r>
      <w:r>
        <w:t xml:space="preserve"> </w:t>
      </w:r>
      <w:r>
        <w:t xml:space="preserve">UNP has paused share buybacks amid the pending merger, and net debt fell $1.2 billion in Q1 as the company prioritized debt paydown; watch for updates on capital allocation (2026 capital plan of $3.3 billion) and the balance sheet (adjusted debt/EBITDA was 2.5x at Q1-end).</w:t>
      </w:r>
    </w:p>
    <w:bookmarkEnd w:id="11"/>
    <w:bookmarkStart w:id="12" w:name="Xe91f53b2d85e7adfa635193f9389a29a2d35df3"/>
    <w:p>
      <w:pPr>
        <w:pStyle w:val="Heading2"/>
      </w:pPr>
      <w:r>
        <w:t xml:space="preserve">The Big Overhang: The Norfolk Southern Merger</w:t>
      </w:r>
    </w:p>
    <w:p>
      <w:pPr>
        <w:pStyle w:val="FirstParagraph"/>
      </w:pPr>
      <w:r>
        <w:t xml:space="preserve">This remains the dominant narrative for the stock. UNP and Norfolk Southern are pursuing an $85 billion combination to create the first U.S. transcontinental railroad, and the regulatory process has been messier and slower than management first hoped. Key context:</w:t>
      </w:r>
    </w:p>
    <w:p>
      <w:pPr>
        <w:pStyle w:val="Compact"/>
        <w:numPr>
          <w:ilvl w:val="0"/>
          <w:numId w:val="1001"/>
        </w:numPr>
      </w:pPr>
      <w:r>
        <w:t xml:space="preserve">The STB initially rejected the application in January 2026 as incomplete; UNP/NS filed a revised application April 30, 2026, which the STB accepted for consideration on May 28, 2026, but</w:t>
      </w:r>
      <w:r>
        <w:t xml:space="preserve"> </w:t>
      </w:r>
      <w:r>
        <w:rPr>
          <w:b/>
          <w:bCs/>
        </w:rPr>
        <w:t xml:space="preserve">held the proceedings — including environmental review — in abeyance and ordered the applicants to submit supplemental information by July 27, 2026</w:t>
      </w:r>
      <w:r>
        <w:t xml:space="preserve"> </w:t>
      </w:r>
      <w:r>
        <w:t xml:space="preserve">— just four days after this earnings call, making that a near-term catalyst to watch.</w:t>
      </w:r>
    </w:p>
    <w:p>
      <w:pPr>
        <w:pStyle w:val="Compact"/>
        <w:numPr>
          <w:ilvl w:val="0"/>
          <w:numId w:val="1001"/>
        </w:numPr>
      </w:pPr>
      <w:r>
        <w:t xml:space="preserve">On the Q1 call, CEO Jim Vena acknowledged timeline slippage but expressed rising conviction: "we are more convicted now than we ever have been when you take a look at what's in the merger application and all the detail that we're putting forward." Management is now working off an expected STB decision around</w:t>
      </w:r>
      <w:r>
        <w:t xml:space="preserve"> </w:t>
      </w:r>
      <w:r>
        <w:rPr>
          <w:b/>
          <w:bCs/>
        </w:rPr>
        <w:t xml:space="preserve">Q2 2027</w:t>
      </w:r>
      <w:r>
        <w:t xml:space="preserve">.</w:t>
      </w:r>
    </w:p>
    <w:p>
      <w:pPr>
        <w:pStyle w:val="Compact"/>
        <w:numPr>
          <w:ilvl w:val="0"/>
          <w:numId w:val="1001"/>
        </w:numPr>
      </w:pPr>
      <w:r>
        <w:t xml:space="preserve">Opposition has intensified. The merger has drawn resistance from rival railroads, shipper groups and unions, who argue that combining the two carriers could reduce competition, raise freight costs and trigger further consolidation across the sector. A dedicated opposition coalition recently launched, and rivals BNSF and Canadian Pacific Kansas City continue lobbying against the deal, even as the deal retains political backing.</w:t>
      </w:r>
    </w:p>
    <w:p>
      <w:pPr>
        <w:pStyle w:val="Compact"/>
        <w:numPr>
          <w:ilvl w:val="0"/>
          <w:numId w:val="1001"/>
        </w:numPr>
      </w:pPr>
      <w:r>
        <w:t xml:space="preserve">Management has pushed back hard on concession demands, with Vena arguing on the Q1 call that this is fundamentally an end-to-end combination with minimal customer overlap, and touting "520 customers that have signed a letter of support, 700 commercial partners... 2,000 in total" (via Kenny Rocker's comments) in favor of the deal.</w:t>
      </w:r>
    </w:p>
    <w:p>
      <w:pPr>
        <w:pStyle w:val="Compact"/>
        <w:numPr>
          <w:ilvl w:val="0"/>
          <w:numId w:val="1001"/>
        </w:numPr>
      </w:pPr>
      <w:r>
        <w:t xml:space="preserve">Merger-related costs are already flowing through the P&amp;L ($36 million / $0.06 per share in Q1) and will likely continue to be a modest reported-EPS drag this quarter — watch for an updated tally and whether guidance language continues to reference "reported" (post-merger-cost) EPS growth as the primary target.</w:t>
      </w:r>
    </w:p>
    <w:p>
      <w:pPr>
        <w:pStyle w:val="FirstParagraph"/>
      </w:pPr>
      <w:r>
        <w:t xml:space="preserve">Investors should expect the Q&amp;A on this call to again be dominated by merger questions — timeline, concessions, STB information requests due July 27, and competitive responses from BNSF/CSX/NS — likely more so than the underlying operating results.</w:t>
      </w:r>
    </w:p>
    <w:bookmarkEnd w:id="12"/>
    <w:bookmarkStart w:id="13" w:name="valuation-and-positioning-considerations"/>
    <w:p>
      <w:pPr>
        <w:pStyle w:val="Heading2"/>
      </w:pPr>
      <w:r>
        <w:t xml:space="preserve">Valuation and Positioning Considerations</w:t>
      </w:r>
    </w:p>
    <w:p>
      <w:pPr>
        <w:pStyle w:val="FirstParagraph"/>
      </w:pPr>
      <w:r>
        <w:t xml:space="preserve">With the stock up roughly 25%+ year-to-date and trading near all-time highs entering the print, the bar for a "beat and raise" reaction is elevated, and sector valuations are already viewed as rich by the market. Combined with a strong CSX print today confirming healthy rail volumes, expectations are running hot. A clean beat with reaffirmed/raised full-year guidance and no negative merger surprises would likely be needed to sustain momentum; any incremental sign of STB delay, concession pressure, or fuel/OR disappointment could trigger profit-taking given how far the stock has run.</w:t>
      </w:r>
    </w:p>
    <w:bookmarkEnd w:id="13"/>
    <w:bookmarkStart w:id="14" w:name="bottom-line"/>
    <w:p>
      <w:pPr>
        <w:pStyle w:val="Heading2"/>
      </w:pPr>
      <w:r>
        <w:t xml:space="preserve">Bottom Line</w:t>
      </w:r>
    </w:p>
    <w:p>
      <w:pPr>
        <w:pStyle w:val="FirstParagraph"/>
      </w:pPr>
      <w:r>
        <w:t xml:space="preserve">Union Pacific goes into Q2 2026 earnings with strong underlying operating momentum — record efficiency metrics, disciplined pricing above inflation, and a lean cost structure — but a fuel-cost headwind and soft international intermodal/auto volumes will be watched closely against a consensus expecting ~</w:t>
      </w:r>
      <m:oMath>
        <m:r>
          <m:t>3.14</m:t>
        </m:r>
        <m:r>
          <m:rPr>
            <m:sty m:val="p"/>
          </m:rPr>
          <m:t>−</m:t>
        </m:r>
      </m:oMath>
      <w:r>
        <w:t xml:space="preserve">3.20 EPS on ~$6.6B revenue. The bigger swing factor for the stock, however, remains the Norfolk Southern merger: with a key STB supplemental-information deadline landing just days after this call and opposition mounting, investors will likely parse management's tone on regulatory conviction and timing at least as closely as the quarterly numbers themselves.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2026-07-23T00:36:59Z</dcterms:created>
  <dcterms:modified xsi:type="dcterms:W3CDTF">2026-07-23T00:36:59Z</dcterms:modified>
</cp:coreProperties>
</file>

<file path=docProps/custom.xml><?xml version="1.0" encoding="utf-8"?>
<Properties xmlns="http://schemas.openxmlformats.org/officeDocument/2006/custom-properties" xmlns:vt="http://schemas.openxmlformats.org/officeDocument/2006/docPropsVTypes"/>
</file>