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np-earnings-predictions--2026-07-23"/>
    <w:p>
      <w:pPr>
        <w:pStyle w:val="Heading1"/>
      </w:pPr>
      <w:r>
        <w:t xml:space="preserve">UNP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~$3.17 vs. cons $3.22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~$6.72B vs. cons $6.64B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ratio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~60.1% vs. cons 59.4%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Reported EPS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~5.0% vs. cons 6.5%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Operating-ratio improvement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~10 bps vs. cons 40 bps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-5.1% (FOLLOW-THROUGH)</w:t>
            </w:r>
          </w:p>
        </w:tc>
        <w:tc>
          <w:tcPr/>
          <w:p>
            <w:pPr>
              <w:pStyle w:val="Compact"/>
            </w:pPr>
            <w:r>
              <w:t xml:space="preserve">A revenue beat driven partly by fuel surcharges is unlikely to offset a ~70 bps operating-ratio miss; maintaining ~5.0% EPS growth versus 6.5% consensus implies second-half estimates decline after the print.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2026-07-23T00:35:50Z</dcterms:created>
  <dcterms:modified xsi:type="dcterms:W3CDTF">2026-07-23T00:35:50Z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