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2f5e2cdfc8a84eab092f131029d5fafb9da98ba"/>
    <w:p>
      <w:pPr>
        <w:pStyle w:val="Heading1"/>
      </w:pPr>
      <w:r>
        <w:t xml:space="preserve">Union Pacific (UNP) 2026 Q2 Earnings Preview</w:t>
      </w:r>
    </w:p>
    <w:p>
      <w:pPr>
        <w:pStyle w:val="BlockText"/>
      </w:pPr>
      <w:r>
        <w:rPr>
          <w:b/>
          <w:bCs/>
        </w:rPr>
        <w:t xml:space="preserve">Timing note:</w:t>
      </w:r>
      <w:r>
        <w:t xml:space="preserve"> </w:t>
      </w:r>
      <w:r>
        <w:t xml:space="preserve">Union Pacific is scheduled to release results</w:t>
      </w:r>
      <w:r>
        <w:t xml:space="preserve"> </w:t>
      </w:r>
      <w:r>
        <w:rPr>
          <w:b/>
          <w:bCs/>
        </w:rPr>
        <w:t xml:space="preserve">today, Thursday, July 23, 2026</w:t>
      </w:r>
      <w:r>
        <w:t xml:space="preserve">, at</w:t>
      </w:r>
      <w:r>
        <w:t xml:space="preserve"> </w:t>
      </w:r>
      <w:r>
        <w:rPr>
          <w:b/>
          <w:bCs/>
        </w:rPr>
        <w:t xml:space="preserve">7:45 a.m. ET</w:t>
      </w:r>
      <w:r>
        <w:t xml:space="preserve">, followed by its earnings call at</w:t>
      </w:r>
      <w:r>
        <w:t xml:space="preserve"> </w:t>
      </w:r>
      <w:r>
        <w:rPr>
          <w:b/>
          <w:bCs/>
        </w:rPr>
        <w:t xml:space="preserve">8:45 a.m. ET—not tomorrow.</w:t>
      </w:r>
      <w:r>
        <w:t xml:space="preserve"> </w:t>
      </w:r>
      <w:r>
        <w:t xml:space="preserve">This preview reflects information available before the scheduled release. (</w:t>
      </w:r>
      <w:hyperlink r:id="rId9">
        <w:r>
          <w:rPr>
            <w:rStyle w:val="Hyperlink"/>
          </w:rPr>
          <w:t xml:space="preserve">investor.unionpacific.com</w:t>
        </w:r>
      </w:hyperlink>
      <w:r>
        <w:t xml:space="preserve">)</w:t>
      </w:r>
    </w:p>
    <w:bookmarkStart w:id="11" w:name="preview-at-a-glance"/>
    <w:p>
      <w:pPr>
        <w:pStyle w:val="Heading2"/>
      </w:pPr>
      <w:r>
        <w:t xml:space="preserve">Preview at a glance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comparison</w:t>
            </w:r>
          </w:p>
        </w:tc>
      </w:tr>
      <w:tr>
        <w:tc>
          <w:tcPr/>
          <w:p>
            <w:pPr>
              <w:pStyle w:val="Compact"/>
            </w:pPr>
            <w:r>
              <w:t xml:space="preserve">Adjusted EPS</w:t>
            </w:r>
          </w:p>
        </w:tc>
        <w:tc>
          <w:tcPr/>
          <w:p>
            <w:pPr>
              <w:pStyle w:val="Compact"/>
              <w:jc w:val="right"/>
            </w:pPr>
            <w:r>
              <w:t xml:space="preserve">Roughly</w:t>
            </w:r>
            <w:r>
              <w:t xml:space="preserve"> </w:t>
            </w:r>
            <m:oMath>
              <m:r>
                <m:t>3.20</m:t>
              </m:r>
              <m:r>
                <m:rPr>
                  <m:sty m:val="p"/>
                </m:rPr>
                <m:t>–</m:t>
              </m:r>
            </m:oMath>
            <w:r>
              <w:rPr>
                <w:b/>
                <w:bCs/>
              </w:rPr>
              <w:t xml:space="preserve">3.25</w:t>
            </w:r>
          </w:p>
        </w:tc>
        <w:tc>
          <w:tcPr/>
          <w:p>
            <w:pPr>
              <w:pStyle w:val="Compact"/>
              <w:jc w:val="right"/>
            </w:pPr>
            <w:r>
              <w:rPr>
                <w:b/>
                <w:bCs/>
              </w:rPr>
              <w:t xml:space="preserve">$3.03</w:t>
            </w:r>
          </w:p>
        </w:tc>
      </w:tr>
      <w:tr>
        <w:tc>
          <w:tcPr/>
          <w:p>
            <w:pPr>
              <w:pStyle w:val="Compact"/>
            </w:pPr>
            <w:r>
              <w:t xml:space="preserve">Operating revenue</w:t>
            </w:r>
          </w:p>
        </w:tc>
        <w:tc>
          <w:tcPr/>
          <w:p>
            <w:pPr>
              <w:pStyle w:val="Compact"/>
              <w:jc w:val="right"/>
            </w:pPr>
            <w:r>
              <w:t xml:space="preserve">Roughly</w:t>
            </w:r>
            <w:r>
              <w:t xml:space="preserve"> </w:t>
            </w:r>
            <m:oMath>
              <m:r>
                <m:t>6.60</m:t>
              </m:r>
              <m:r>
                <m:rPr>
                  <m:sty m:val="p"/>
                </m:rPr>
                <m:t>–</m:t>
              </m:r>
            </m:oMath>
            <w:r>
              <w:rPr>
                <w:b/>
                <w:bCs/>
              </w:rPr>
              <w:t xml:space="preserve">6.68B</w:t>
            </w:r>
          </w:p>
        </w:tc>
        <w:tc>
          <w:tcPr/>
          <w:p>
            <w:pPr>
              <w:pStyle w:val="Compact"/>
              <w:jc w:val="right"/>
            </w:pPr>
            <w:r>
              <w:rPr>
                <w:b/>
                <w:bCs/>
              </w:rPr>
              <w:t xml:space="preserve">$6.154B</w:t>
            </w:r>
          </w:p>
        </w:tc>
      </w:tr>
      <w:tr>
        <w:tc>
          <w:tcPr/>
          <w:p>
            <w:pPr>
              <w:pStyle w:val="Compact"/>
            </w:pPr>
            <w:r>
              <w:t xml:space="preserve">Adjusted operating ratio</w:t>
            </w:r>
          </w:p>
        </w:tc>
        <w:tc>
          <w:tcPr/>
          <w:p>
            <w:pPr>
              <w:pStyle w:val="Compact"/>
              <w:jc w:val="right"/>
            </w:pPr>
            <w:r>
              <w:rPr>
                <w:b/>
                <w:bCs/>
              </w:rPr>
              <w:t xml:space="preserve">59.4% consensus</w:t>
            </w:r>
          </w:p>
        </w:tc>
        <w:tc>
          <w:tcPr/>
          <w:p>
            <w:pPr>
              <w:pStyle w:val="Compact"/>
              <w:jc w:val="right"/>
            </w:pPr>
            <w:r>
              <w:rPr>
                <w:b/>
                <w:bCs/>
              </w:rPr>
              <w:t xml:space="preserve">58.1%</w:t>
            </w:r>
          </w:p>
        </w:tc>
      </w:tr>
      <w:tr>
        <w:tc>
          <w:tcPr/>
          <w:p>
            <w:pPr>
              <w:pStyle w:val="Compact"/>
            </w:pPr>
            <w:r>
              <w:t xml:space="preserve">Traffic</w:t>
            </w:r>
          </w:p>
        </w:tc>
        <w:tc>
          <w:tcPr/>
          <w:p>
            <w:pPr>
              <w:pStyle w:val="Compact"/>
              <w:jc w:val="right"/>
            </w:pPr>
            <w:r>
              <w:t xml:space="preserve">Positive low-single-digit growth</w:t>
            </w:r>
          </w:p>
        </w:tc>
        <w:tc>
          <w:tcPr/>
          <w:p>
            <w:pPr>
              <w:pStyle w:val="Compact"/>
              <w:jc w:val="right"/>
            </w:pPr>
            <w:r>
              <w:t xml:space="preserve">Revenue carloads +4%</w:t>
            </w:r>
          </w:p>
        </w:tc>
      </w:tr>
      <w:tr>
        <w:tc>
          <w:tcPr/>
          <w:p>
            <w:pPr>
              <w:pStyle w:val="Compact"/>
            </w:pPr>
            <w:r>
              <w:t xml:space="preserve">Key swing factor</w:t>
            </w:r>
          </w:p>
        </w:tc>
        <w:tc>
          <w:tcPr/>
          <w:p>
            <w:pPr>
              <w:pStyle w:val="Compact"/>
              <w:jc w:val="right"/>
            </w:pPr>
            <w:r>
              <w:t xml:space="preserve">Fuel expense and surcharge timing</w:t>
            </w:r>
          </w:p>
        </w:tc>
        <w:tc>
          <w:tcPr/>
          <w:p>
            <w:pPr>
              <w:pStyle w:val="Compact"/>
              <w:jc w:val="right"/>
            </w:pPr>
            <w:r>
              <w:t xml:space="preserve">Fuel averaged $2.42/gallon</w:t>
            </w:r>
          </w:p>
        </w:tc>
      </w:tr>
    </w:tbl>
    <w:p>
      <w:pPr>
        <w:pStyle w:val="BodyText"/>
      </w:pPr>
      <w:r>
        <w:t xml:space="preserve">Consensus sources differ slightly, but expectations cluster around</w:t>
      </w:r>
      <w:r>
        <w:t xml:space="preserve"> </w:t>
      </w:r>
      <m:oMath>
        <m:r>
          <m:t>3.20</m:t>
        </m:r>
        <m:r>
          <m:rPr>
            <m:sty m:val="p"/>
          </m:rPr>
          <m:t>–</m:t>
        </m:r>
      </m:oMath>
      <w:r>
        <w:t xml:space="preserve">3.25 of adjusted EPS and approximately $6.6 billion of revenue. That implies roughly 6% adjusted EPS growth and 7% revenue growth year over year. (</w:t>
      </w:r>
      <w:hyperlink r:id="rId10">
        <w:r>
          <w:rPr>
            <w:rStyle w:val="Hyperlink"/>
          </w:rPr>
          <w:t xml:space="preserve">barchart.com</w:t>
        </w:r>
      </w:hyperlink>
      <w:r>
        <w:t xml:space="preserve">)</w:t>
      </w:r>
    </w:p>
    <w:bookmarkEnd w:id="11"/>
    <w:bookmarkStart w:id="13" w:name="investment-view-going-into-the-print"/>
    <w:p>
      <w:pPr>
        <w:pStyle w:val="Heading2"/>
      </w:pPr>
      <w:r>
        <w:t xml:space="preserve">Investment view going into the print</w:t>
      </w:r>
    </w:p>
    <w:p>
      <w:pPr>
        <w:pStyle w:val="FirstParagraph"/>
      </w:pPr>
      <w:r>
        <w:t xml:space="preserve">The setup is constructive operationally but demanding financially.</w:t>
      </w:r>
    </w:p>
    <w:p>
      <w:pPr>
        <w:pStyle w:val="BodyText"/>
      </w:pPr>
      <w:r>
        <w:t xml:space="preserve">Union Pacific entered Q2 with excellent network performance, positive pricing and substantial productivity momentum. Traffic strengthened during the quarter, particularly in grain, intermodal and industrial categories. However, sharply higher diesel prices should inflate both revenue and expense, pressure the operating ratio and make the headline revenue number less informative than usual.</w:t>
      </w:r>
    </w:p>
    <w:p>
      <w:pPr>
        <w:pStyle w:val="BodyText"/>
      </w:pPr>
      <w:r>
        <w:t xml:space="preserve">The stock also carries a higher bar. At its July 22 close near $292.60, UNP trades at approximately</w:t>
      </w:r>
      <w:r>
        <w:t xml:space="preserve"> </w:t>
      </w:r>
      <w:r>
        <w:rPr>
          <w:b/>
          <w:bCs/>
        </w:rPr>
        <w:t xml:space="preserve">23 times</w:t>
      </w:r>
      <w:r>
        <w:t xml:space="preserve"> </w:t>
      </w:r>
      <w:r>
        <w:t xml:space="preserve">the current $12.62 full-year EPS consensus, after rising about 17% since the day before the Q1 report. A routine beat may not be enough; investors will likely want evidence that productivity can offset fuel and mix pressure while management maintains its full-year outlook. (</w:t>
      </w:r>
      <w:hyperlink r:id="rId12">
        <w:r>
          <w:rPr>
            <w:rStyle w:val="Hyperlink"/>
          </w:rPr>
          <w:t xml:space="preserve">financialcontent.com</w:t>
        </w:r>
      </w:hyperlink>
      <w:r>
        <w:t xml:space="preserve">)</w:t>
      </w:r>
    </w:p>
    <w:bookmarkEnd w:id="13"/>
    <w:bookmarkStart w:id="17" w:name="X28b389fb5585c4259893bb5dd1d441c225b2676"/>
    <w:p>
      <w:pPr>
        <w:pStyle w:val="Heading2"/>
      </w:pPr>
      <w:r>
        <w:t xml:space="preserve">1. The quarter’s central question: Can productivity absorb the fuel shock?</w:t>
      </w:r>
    </w:p>
    <w:p>
      <w:pPr>
        <w:pStyle w:val="FirstParagraph"/>
      </w:pPr>
      <w:r>
        <w:t xml:space="preserve">Q1 was operationally strong:</w:t>
      </w:r>
    </w:p>
    <w:p>
      <w:pPr>
        <w:pStyle w:val="Compact"/>
        <w:numPr>
          <w:ilvl w:val="0"/>
          <w:numId w:val="1001"/>
        </w:numPr>
      </w:pPr>
      <w:r>
        <w:t xml:space="preserve">Adjusted EPS rose 9% to $2.93.</w:t>
      </w:r>
    </w:p>
    <w:p>
      <w:pPr>
        <w:pStyle w:val="Compact"/>
        <w:numPr>
          <w:ilvl w:val="0"/>
          <w:numId w:val="1001"/>
        </w:numPr>
      </w:pPr>
      <w:r>
        <w:t xml:space="preserve">Adjusted operating ratio improved 80 basis points to 59.9%.</w:t>
      </w:r>
    </w:p>
    <w:p>
      <w:pPr>
        <w:pStyle w:val="Compact"/>
        <w:numPr>
          <w:ilvl w:val="0"/>
          <w:numId w:val="1001"/>
        </w:numPr>
      </w:pPr>
      <w:r>
        <w:t xml:space="preserve">Freight-car velocity increased 9% to 235 miles per day.</w:t>
      </w:r>
    </w:p>
    <w:p>
      <w:pPr>
        <w:pStyle w:val="Compact"/>
        <w:numPr>
          <w:ilvl w:val="0"/>
          <w:numId w:val="1001"/>
        </w:numPr>
      </w:pPr>
      <w:r>
        <w:t xml:space="preserve">Terminal dwell improved 11% to 19.7 hours.</w:t>
      </w:r>
    </w:p>
    <w:p>
      <w:pPr>
        <w:pStyle w:val="Compact"/>
        <w:numPr>
          <w:ilvl w:val="0"/>
          <w:numId w:val="1001"/>
        </w:numPr>
      </w:pPr>
      <w:r>
        <w:t xml:space="preserve">Workforce productivity rose 7%.</w:t>
      </w:r>
    </w:p>
    <w:p>
      <w:pPr>
        <w:pStyle w:val="Compact"/>
        <w:numPr>
          <w:ilvl w:val="0"/>
          <w:numId w:val="1001"/>
        </w:numPr>
      </w:pPr>
      <w:r>
        <w:t xml:space="preserve">Average headcount fell 5% despite higher gross ton-miles.</w:t>
      </w:r>
    </w:p>
    <w:p>
      <w:pPr>
        <w:pStyle w:val="FirstParagraph"/>
      </w:pPr>
      <w:r>
        <w:t xml:space="preserve">Union Pacific consequently reaffirmed its 2026 targets for mid-single-digit reported EPS growth and operating-ratio improvement. (</w:t>
      </w:r>
      <w:hyperlink r:id="rId14">
        <w:r>
          <w:rPr>
            <w:rStyle w:val="Hyperlink"/>
          </w:rPr>
          <w:t xml:space="preserve">investor.unionpacific.com</w:t>
        </w:r>
      </w:hyperlink>
      <w:r>
        <w:t xml:space="preserve">)</w:t>
      </w:r>
    </w:p>
    <w:p>
      <w:pPr>
        <w:pStyle w:val="BodyText"/>
      </w:pPr>
      <w:r>
        <w:t xml:space="preserve">But Q2 had a much tougher fuel comparison. Management indicated during the quarter that diesel costs were running around</w:t>
      </w:r>
      <w:r>
        <w:t xml:space="preserve"> </w:t>
      </w:r>
      <m:oMath>
        <m:r>
          <m:t>4.00</m:t>
        </m:r>
        <m:r>
          <m:rPr>
            <m:sty m:val="p"/>
          </m:rPr>
          <m:t>–</m:t>
        </m:r>
      </m:oMath>
      <w:r>
        <w:t xml:space="preserve">4.25 per gallon, compared with an average of only $2.42 in Q2 2025. Fuel surcharges recover much of the economic impact over time, but the lag between expense and surcharge revenue can hurt near-term margins. Higher surcharge revenue also mechanically raises the operating ratio because it adds similar amounts to revenue and expense. (</w:t>
      </w:r>
      <w:hyperlink r:id="rId15">
        <w:r>
          <w:rPr>
            <w:rStyle w:val="Hyperlink"/>
          </w:rPr>
          <w:t xml:space="preserve">investor.unionpacific.com</w:t>
        </w:r>
      </w:hyperlink>
      <w:r>
        <w:t xml:space="preserve">)</w:t>
      </w:r>
    </w:p>
    <w:p>
      <w:pPr>
        <w:pStyle w:val="BodyText"/>
      </w:pPr>
      <w:r>
        <w:t xml:space="preserve">That dynamic explains why consensus calls for an adjusted operating ratio around</w:t>
      </w:r>
      <w:r>
        <w:t xml:space="preserve"> </w:t>
      </w:r>
      <w:r>
        <w:rPr>
          <w:b/>
          <w:bCs/>
        </w:rPr>
        <w:t xml:space="preserve">59.4%</w:t>
      </w:r>
      <w:r>
        <w:t xml:space="preserve">, versus 58.1% last year, even though underlying network efficiency appears better. (</w:t>
      </w:r>
      <w:hyperlink r:id="rId16">
        <w:r>
          <w:rPr>
            <w:rStyle w:val="Hyperlink"/>
          </w:rPr>
          <w:t xml:space="preserve">zacks.com</w:t>
        </w:r>
      </w:hyperlink>
      <w:r>
        <w:t xml:space="preserve">)</w:t>
      </w:r>
    </w:p>
    <w:p>
      <w:pPr>
        <w:pStyle w:val="BodyText"/>
      </w:pPr>
      <w:r>
        <w:rPr>
          <w:b/>
          <w:bCs/>
        </w:rPr>
        <w:t xml:space="preserve">Investor takeaway:</w:t>
      </w:r>
      <w:r>
        <w:t xml:space="preserve"> </w:t>
      </w:r>
      <w:r>
        <w:t xml:space="preserve">A revenue beat driven primarily by fuel surcharge revenue is low quality. The more important numbers are:</w:t>
      </w:r>
    </w:p>
    <w:p>
      <w:pPr>
        <w:pStyle w:val="Compact"/>
        <w:numPr>
          <w:ilvl w:val="0"/>
          <w:numId w:val="1002"/>
        </w:numPr>
      </w:pPr>
      <w:r>
        <w:t xml:space="preserve">Adjusted operating ratio excluding unusual merger expenses.</w:t>
      </w:r>
    </w:p>
    <w:p>
      <w:pPr>
        <w:pStyle w:val="Compact"/>
        <w:numPr>
          <w:ilvl w:val="0"/>
          <w:numId w:val="1002"/>
        </w:numPr>
      </w:pPr>
      <w:r>
        <w:t xml:space="preserve">Core pricing versus inflation.</w:t>
      </w:r>
    </w:p>
    <w:p>
      <w:pPr>
        <w:pStyle w:val="Compact"/>
        <w:numPr>
          <w:ilvl w:val="0"/>
          <w:numId w:val="1002"/>
        </w:numPr>
      </w:pPr>
      <w:r>
        <w:t xml:space="preserve">Fuel consumption efficiency.</w:t>
      </w:r>
    </w:p>
    <w:p>
      <w:pPr>
        <w:pStyle w:val="Compact"/>
        <w:numPr>
          <w:ilvl w:val="0"/>
          <w:numId w:val="1002"/>
        </w:numPr>
      </w:pPr>
      <w:r>
        <w:t xml:space="preserve">Compensation and equipment-rental productivity.</w:t>
      </w:r>
    </w:p>
    <w:p>
      <w:pPr>
        <w:pStyle w:val="Compact"/>
        <w:numPr>
          <w:ilvl w:val="0"/>
          <w:numId w:val="1002"/>
        </w:numPr>
      </w:pPr>
      <w:r>
        <w:t xml:space="preserve">Management’s confidence in full-year OR improvement.</w:t>
      </w:r>
    </w:p>
    <w:bookmarkEnd w:id="17"/>
    <w:bookmarkStart w:id="21" w:name="Xe11662562a9974fca75b59a1a305045448259b7"/>
    <w:p>
      <w:pPr>
        <w:pStyle w:val="Heading2"/>
      </w:pPr>
      <w:r>
        <w:t xml:space="preserve">2. Volume should be a positive, with a mixed composition</w:t>
      </w:r>
    </w:p>
    <w:p>
      <w:pPr>
        <w:pStyle w:val="FirstParagraph"/>
      </w:pPr>
      <w:r>
        <w:t xml:space="preserve">Union Pacific’s weekly data through June 27 showed:</w:t>
      </w:r>
    </w:p>
    <w:p>
      <w:pPr>
        <w:pStyle w:val="Compact"/>
        <w:numPr>
          <w:ilvl w:val="0"/>
          <w:numId w:val="1003"/>
        </w:numPr>
      </w:pPr>
      <w:r>
        <w:rPr>
          <w:b/>
          <w:bCs/>
        </w:rPr>
        <w:t xml:space="preserve">Total carloads and intermodal up 3%</w:t>
      </w:r>
    </w:p>
    <w:p>
      <w:pPr>
        <w:pStyle w:val="Compact"/>
        <w:numPr>
          <w:ilvl w:val="0"/>
          <w:numId w:val="1003"/>
        </w:numPr>
      </w:pPr>
      <w:r>
        <w:t xml:space="preserve">Traditional carloads up approximately 1%</w:t>
      </w:r>
    </w:p>
    <w:p>
      <w:pPr>
        <w:pStyle w:val="Compact"/>
        <w:numPr>
          <w:ilvl w:val="0"/>
          <w:numId w:val="1003"/>
        </w:numPr>
      </w:pPr>
      <w:r>
        <w:t xml:space="preserve">Intermodal up approximately 5%</w:t>
      </w:r>
    </w:p>
    <w:p>
      <w:pPr>
        <w:pStyle w:val="Compact"/>
        <w:numPr>
          <w:ilvl w:val="0"/>
          <w:numId w:val="1003"/>
        </w:numPr>
      </w:pPr>
      <w:r>
        <w:t xml:space="preserve">Grain up approximately 17%</w:t>
      </w:r>
    </w:p>
    <w:p>
      <w:pPr>
        <w:pStyle w:val="Compact"/>
        <w:numPr>
          <w:ilvl w:val="0"/>
          <w:numId w:val="1003"/>
        </w:numPr>
      </w:pPr>
      <w:r>
        <w:t xml:space="preserve">Chemicals up approximately 4%</w:t>
      </w:r>
    </w:p>
    <w:p>
      <w:pPr>
        <w:pStyle w:val="Compact"/>
        <w:numPr>
          <w:ilvl w:val="0"/>
          <w:numId w:val="1003"/>
        </w:numPr>
      </w:pPr>
      <w:r>
        <w:t xml:space="preserve">Metals and products up approximately 8%</w:t>
      </w:r>
    </w:p>
    <w:p>
      <w:pPr>
        <w:pStyle w:val="Compact"/>
        <w:numPr>
          <w:ilvl w:val="0"/>
          <w:numId w:val="1003"/>
        </w:numPr>
      </w:pPr>
      <w:r>
        <w:t xml:space="preserve">Coal down approximately 17%</w:t>
      </w:r>
    </w:p>
    <w:p>
      <w:pPr>
        <w:pStyle w:val="FirstParagraph"/>
      </w:pPr>
      <w:r>
        <w:t xml:space="preserve">These figures cover nearly all of Q2 and suggest that total traffic improved from Q1’s 1% carload decline. (</w:t>
      </w:r>
      <w:hyperlink r:id="rId18">
        <w:r>
          <w:rPr>
            <w:rStyle w:val="Hyperlink"/>
          </w:rPr>
          <w:t xml:space="preserve">investor.unionpacific.com</w:t>
        </w:r>
      </w:hyperlink>
      <w:r>
        <w:t xml:space="preserve">)</w:t>
      </w:r>
    </w:p>
    <w:bookmarkStart w:id="19" w:name="positives"/>
    <w:p>
      <w:pPr>
        <w:pStyle w:val="Heading3"/>
      </w:pPr>
      <w:r>
        <w:t xml:space="preserve">Positives</w:t>
      </w:r>
    </w:p>
    <w:p>
      <w:pPr>
        <w:pStyle w:val="FirstParagraph"/>
      </w:pPr>
      <w:r>
        <w:rPr>
          <w:b/>
          <w:bCs/>
        </w:rPr>
        <w:t xml:space="preserve">Grain:</w:t>
      </w:r>
      <w:r>
        <w:t xml:space="preserve"> </w:t>
      </w:r>
      <w:r>
        <w:t xml:space="preserve">Export demand and Mexico-related growth should remain meaningful tailwinds. Grain was already UNP’s strongest major business in Q1, with carloads up 14%.</w:t>
      </w:r>
    </w:p>
    <w:p>
      <w:pPr>
        <w:pStyle w:val="BodyText"/>
      </w:pPr>
      <w:r>
        <w:rPr>
          <w:b/>
          <w:bCs/>
        </w:rPr>
        <w:t xml:space="preserve">Industrial:</w:t>
      </w:r>
      <w:r>
        <w:t xml:space="preserve"> </w:t>
      </w:r>
      <w:r>
        <w:t xml:space="preserve">Chemicals, plastics, construction materials and metals should remain the most dependable part of the mix. Strong service is allowing UNP to win new business even with uneven underlying industrial production.</w:t>
      </w:r>
    </w:p>
    <w:p>
      <w:pPr>
        <w:pStyle w:val="BodyText"/>
      </w:pPr>
      <w:r>
        <w:rPr>
          <w:b/>
          <w:bCs/>
        </w:rPr>
        <w:t xml:space="preserve">Domestic intermodal:</w:t>
      </w:r>
      <w:r>
        <w:t xml:space="preserve"> </w:t>
      </w:r>
      <w:r>
        <w:t xml:space="preserve">The company entered Q2 with three consecutive record quarters of domestic intermodal volume. A tighter and more expensive trucking market improves the economics of truck-to-rail conversion.</w:t>
      </w:r>
    </w:p>
    <w:bookmarkEnd w:id="19"/>
    <w:bookmarkStart w:id="20" w:name="offsets"/>
    <w:p>
      <w:pPr>
        <w:pStyle w:val="Heading3"/>
      </w:pPr>
      <w:r>
        <w:t xml:space="preserve">Offsets</w:t>
      </w:r>
    </w:p>
    <w:p>
      <w:pPr>
        <w:pStyle w:val="FirstParagraph"/>
      </w:pPr>
      <w:r>
        <w:rPr>
          <w:b/>
          <w:bCs/>
        </w:rPr>
        <w:t xml:space="preserve">Coal:</w:t>
      </w:r>
      <w:r>
        <w:t xml:space="preserve"> </w:t>
      </w:r>
      <w:r>
        <w:t xml:space="preserve">Coal weakened sharply after a very strong Q1. The company lapped a prior customer win, while lower natural-gas prices, seasonal plant maintenance and milder spring weather affected demand.</w:t>
      </w:r>
    </w:p>
    <w:p>
      <w:pPr>
        <w:pStyle w:val="BodyText"/>
      </w:pPr>
      <w:r>
        <w:rPr>
          <w:b/>
          <w:bCs/>
        </w:rPr>
        <w:t xml:space="preserve">International intermodal:</w:t>
      </w:r>
      <w:r>
        <w:t xml:space="preserve"> </w:t>
      </w:r>
      <w:r>
        <w:t xml:space="preserve">Comparisons improved from Q1’s 28% decline, but the business remains exposed to trade-policy uncertainty and shifting West Coast import patterns.</w:t>
      </w:r>
    </w:p>
    <w:p>
      <w:pPr>
        <w:pStyle w:val="BodyText"/>
      </w:pPr>
      <w:r>
        <w:rPr>
          <w:b/>
          <w:bCs/>
        </w:rPr>
        <w:t xml:space="preserve">Mix:</w:t>
      </w:r>
      <w:r>
        <w:t xml:space="preserve"> </w:t>
      </w:r>
      <w:r>
        <w:t xml:space="preserve">Growth in domestic intermodal and shorter-haul construction traffic is positive for earnings dollars but can dilute average revenue per car and pressure the operating ratio.</w:t>
      </w:r>
    </w:p>
    <w:bookmarkEnd w:id="20"/>
    <w:bookmarkEnd w:id="21"/>
    <w:bookmarkStart w:id="23" w:name="X6fb02a5359d3a6f07a5404fa074f23ce1d4260e"/>
    <w:p>
      <w:pPr>
        <w:pStyle w:val="Heading2"/>
      </w:pPr>
      <w:r>
        <w:t xml:space="preserve">3. Expectations for pricing are high</w:t>
      </w:r>
    </w:p>
    <w:p>
      <w:pPr>
        <w:pStyle w:val="FirstParagraph"/>
      </w:pPr>
      <w:r>
        <w:t xml:space="preserve">Q1 freight revenue increased 4% despite 1% fewer carloads, with core pricing and business mix contributing 325 basis points. Management also said pricing dollars exceeded inflation dollars. (</w:t>
      </w:r>
      <w:hyperlink r:id="rId22">
        <w:r>
          <w:rPr>
            <w:rStyle w:val="Hyperlink"/>
          </w:rPr>
          <w:t xml:space="preserve">investor.unionpacific.com</w:t>
        </w:r>
      </w:hyperlink>
      <w:r>
        <w:t xml:space="preserve">)</w:t>
      </w:r>
    </w:p>
    <w:p>
      <w:pPr>
        <w:pStyle w:val="BodyText"/>
      </w:pPr>
      <w:r>
        <w:t xml:space="preserve">Investors should listen for whether this remained true in Q2. UNP’s service metrics give it a credible basis for stronger pricing, but several agricultural markets remain highly competitive, and some contracts reprice only periodically.</w:t>
      </w:r>
    </w:p>
    <w:p>
      <w:pPr>
        <w:pStyle w:val="BodyText"/>
      </w:pPr>
      <w:r>
        <w:t xml:space="preserve">The ideal outcome would be:</w:t>
      </w:r>
    </w:p>
    <w:p>
      <w:pPr>
        <w:pStyle w:val="Compact"/>
        <w:numPr>
          <w:ilvl w:val="0"/>
          <w:numId w:val="1004"/>
        </w:numPr>
      </w:pPr>
      <w:r>
        <w:t xml:space="preserve">Positive core pricing across most categories.</w:t>
      </w:r>
    </w:p>
    <w:p>
      <w:pPr>
        <w:pStyle w:val="Compact"/>
        <w:numPr>
          <w:ilvl w:val="0"/>
          <w:numId w:val="1004"/>
        </w:numPr>
      </w:pPr>
      <w:r>
        <w:t xml:space="preserve">Pricing dollars still exceeding inflation dollars.</w:t>
      </w:r>
    </w:p>
    <w:p>
      <w:pPr>
        <w:pStyle w:val="Compact"/>
        <w:numPr>
          <w:ilvl w:val="0"/>
          <w:numId w:val="1004"/>
        </w:numPr>
      </w:pPr>
      <w:r>
        <w:t xml:space="preserve">Evidence that better service is reducing customer equipment and inventory costs.</w:t>
      </w:r>
    </w:p>
    <w:p>
      <w:pPr>
        <w:pStyle w:val="Compact"/>
        <w:numPr>
          <w:ilvl w:val="0"/>
          <w:numId w:val="1004"/>
        </w:numPr>
      </w:pPr>
      <w:r>
        <w:t xml:space="preserve">Stronger pricing in domestic intermodal as trucking conditions tighten.</w:t>
      </w:r>
    </w:p>
    <w:p>
      <w:pPr>
        <w:pStyle w:val="FirstParagraph"/>
      </w:pPr>
      <w:r>
        <w:t xml:space="preserve">If management talks more about volume wins than price realization, the market may question how much incremental volume is reaching the bottom line.</w:t>
      </w:r>
    </w:p>
    <w:bookmarkEnd w:id="23"/>
    <w:bookmarkStart w:id="26" w:name="X3535de56c583fcda1a7f899c50907b8fa91e261"/>
    <w:p>
      <w:pPr>
        <w:pStyle w:val="Heading2"/>
      </w:pPr>
      <w:r>
        <w:t xml:space="preserve">4. The Norfolk Southern merger may overshadow the quarter</w:t>
      </w:r>
    </w:p>
    <w:p>
      <w:pPr>
        <w:pStyle w:val="FirstParagraph"/>
      </w:pPr>
      <w:r>
        <w:t xml:space="preserve">The Surface Transportation Board accepted the Union Pacific–Norfolk Southern application on May 28 but requested supplemental information. UNP and NSC submitted the first response on July 7 and expect a mid-2027 completion under the current timetable. (</w:t>
      </w:r>
      <w:hyperlink r:id="rId24">
        <w:r>
          <w:rPr>
            <w:rStyle w:val="Hyperlink"/>
          </w:rPr>
          <w:t xml:space="preserve">investor.unionpacific.com</w:t>
        </w:r>
      </w:hyperlink>
      <w:r>
        <w:t xml:space="preserve">)</w:t>
      </w:r>
    </w:p>
    <w:p>
      <w:pPr>
        <w:pStyle w:val="BodyText"/>
      </w:pPr>
      <w:r>
        <w:t xml:space="preserve">A notable positive arrived on July 22: UNP reached a binding agreement with Canadian National under which CN would receive expanded customer access and certain terminal interests and, in return, would not oppose the transaction. The agreement addresses several competition and terminal-ownership concerns raised in the regulatory process. (</w:t>
      </w:r>
      <w:hyperlink r:id="rId25">
        <w:r>
          <w:rPr>
            <w:rStyle w:val="Hyperlink"/>
          </w:rPr>
          <w:t xml:space="preserve">investor.unionpacific.com</w:t>
        </w:r>
      </w:hyperlink>
      <w:r>
        <w:t xml:space="preserve">)</w:t>
      </w:r>
    </w:p>
    <w:p>
      <w:pPr>
        <w:pStyle w:val="BodyText"/>
      </w:pPr>
      <w:r>
        <w:t xml:space="preserve">Management is likely to face questions on:</w:t>
      </w:r>
    </w:p>
    <w:p>
      <w:pPr>
        <w:pStyle w:val="Compact"/>
        <w:numPr>
          <w:ilvl w:val="0"/>
          <w:numId w:val="1005"/>
        </w:numPr>
      </w:pPr>
      <w:r>
        <w:t xml:space="preserve">Whether the CN settlement is a template for agreements with other railroads.</w:t>
      </w:r>
    </w:p>
    <w:p>
      <w:pPr>
        <w:pStyle w:val="Compact"/>
        <w:numPr>
          <w:ilvl w:val="0"/>
          <w:numId w:val="1005"/>
        </w:numPr>
      </w:pPr>
      <w:r>
        <w:t xml:space="preserve">The financial cost of concessions.</w:t>
      </w:r>
    </w:p>
    <w:p>
      <w:pPr>
        <w:pStyle w:val="Compact"/>
        <w:numPr>
          <w:ilvl w:val="0"/>
          <w:numId w:val="1005"/>
        </w:numPr>
      </w:pPr>
      <w:r>
        <w:t xml:space="preserve">Whether the STB’s supplemental-information process changes the mid-2027 timetable.</w:t>
      </w:r>
    </w:p>
    <w:p>
      <w:pPr>
        <w:pStyle w:val="Compact"/>
        <w:numPr>
          <w:ilvl w:val="0"/>
          <w:numId w:val="1005"/>
        </w:numPr>
      </w:pPr>
      <w:r>
        <w:t xml:space="preserve">The expected level of merger expenses through 2026.</w:t>
      </w:r>
    </w:p>
    <w:p>
      <w:pPr>
        <w:pStyle w:val="Compact"/>
        <w:numPr>
          <w:ilvl w:val="0"/>
          <w:numId w:val="1005"/>
        </w:numPr>
      </w:pPr>
      <w:r>
        <w:t xml:space="preserve">Whether the original revenue and cost-synergy targets remain intact.</w:t>
      </w:r>
    </w:p>
    <w:p>
      <w:pPr>
        <w:pStyle w:val="Compact"/>
        <w:numPr>
          <w:ilvl w:val="0"/>
          <w:numId w:val="1005"/>
        </w:numPr>
      </w:pPr>
      <w:r>
        <w:t xml:space="preserve">At what point concessions would make the transaction unattractive to UNP shareholders.</w:t>
      </w:r>
    </w:p>
    <w:p>
      <w:pPr>
        <w:pStyle w:val="FirstParagraph"/>
      </w:pPr>
      <w:r>
        <w:t xml:space="preserve">The CN agreement is strategically encouraging, but investors should distinguish between concessions that improve approval odds and concessions that reduce deal economics.</w:t>
      </w:r>
    </w:p>
    <w:bookmarkEnd w:id="26"/>
    <w:bookmarkStart w:id="28" w:name="Xbd4f598de329d4517eae3991c9bde7262bf217b"/>
    <w:p>
      <w:pPr>
        <w:pStyle w:val="Heading2"/>
      </w:pPr>
      <w:r>
        <w:t xml:space="preserve">5. Guidance matters more than a small EPS beat</w:t>
      </w:r>
    </w:p>
    <w:p>
      <w:pPr>
        <w:pStyle w:val="FirstParagraph"/>
      </w:pPr>
      <w:r>
        <w:t xml:space="preserve">UNP’s standing 2026 framework calls for:</w:t>
      </w:r>
    </w:p>
    <w:p>
      <w:pPr>
        <w:pStyle w:val="Compact"/>
        <w:numPr>
          <w:ilvl w:val="0"/>
          <w:numId w:val="1006"/>
        </w:numPr>
      </w:pPr>
      <w:r>
        <w:t xml:space="preserve">Mid-single-digit</w:t>
      </w:r>
      <w:r>
        <w:t xml:space="preserve"> </w:t>
      </w:r>
      <w:r>
        <w:rPr>
          <w:b/>
          <w:bCs/>
        </w:rPr>
        <w:t xml:space="preserve">reported</w:t>
      </w:r>
      <w:r>
        <w:t xml:space="preserve"> </w:t>
      </w:r>
      <w:r>
        <w:t xml:space="preserve">EPS growth.</w:t>
      </w:r>
    </w:p>
    <w:p>
      <w:pPr>
        <w:pStyle w:val="Compact"/>
        <w:numPr>
          <w:ilvl w:val="0"/>
          <w:numId w:val="1006"/>
        </w:numPr>
      </w:pPr>
      <w:r>
        <w:t xml:space="preserve">Full-year operating-ratio improvement.</w:t>
      </w:r>
    </w:p>
    <w:p>
      <w:pPr>
        <w:pStyle w:val="Compact"/>
        <w:numPr>
          <w:ilvl w:val="0"/>
          <w:numId w:val="1006"/>
        </w:numPr>
      </w:pPr>
      <w:r>
        <w:t xml:space="preserve">Pricing dollars exceeding inflation dollars.</w:t>
      </w:r>
    </w:p>
    <w:p>
      <w:pPr>
        <w:pStyle w:val="Compact"/>
        <w:numPr>
          <w:ilvl w:val="0"/>
          <w:numId w:val="1006"/>
        </w:numPr>
      </w:pPr>
      <w:r>
        <w:t xml:space="preserve">A $3.3 billion capital plan.</w:t>
      </w:r>
    </w:p>
    <w:p>
      <w:pPr>
        <w:pStyle w:val="Compact"/>
        <w:numPr>
          <w:ilvl w:val="0"/>
          <w:numId w:val="1006"/>
        </w:numPr>
      </w:pPr>
      <w:r>
        <w:t xml:space="preserve">Continued dividend growth.</w:t>
      </w:r>
    </w:p>
    <w:p>
      <w:pPr>
        <w:pStyle w:val="Compact"/>
        <w:numPr>
          <w:ilvl w:val="0"/>
          <w:numId w:val="1006"/>
        </w:numPr>
      </w:pPr>
      <w:r>
        <w:t xml:space="preserve">High-single-digit to low-double-digit EPS CAGR through 2027.</w:t>
      </w:r>
    </w:p>
    <w:p>
      <w:pPr>
        <w:pStyle w:val="FirstParagraph"/>
      </w:pPr>
      <w:r>
        <w:t xml:space="preserve">Importantly, the EPS target is based on reported results and therefore includes merger expenses and the absence of share repurchases while the transaction is pending. (</w:t>
      </w:r>
      <w:hyperlink r:id="rId27">
        <w:r>
          <w:rPr>
            <w:rStyle w:val="Hyperlink"/>
          </w:rPr>
          <w:t xml:space="preserve">investor.unionpacific.com</w:t>
        </w:r>
      </w:hyperlink>
      <w:r>
        <w:t xml:space="preserve">)</w:t>
      </w:r>
    </w:p>
    <w:p>
      <w:pPr>
        <w:pStyle w:val="BodyText"/>
      </w:pPr>
      <w:r>
        <w:t xml:space="preserve">Given the fuel environment, an unchanged outlook would be a reasonably constructive result. A raise appears less likely unless management sees stronger pricing, sustained traffic growth and a material improvement in fuel costs during the second half.</w:t>
      </w:r>
    </w:p>
    <w:bookmarkEnd w:id="28"/>
    <w:bookmarkStart w:id="32" w:name="Xedeb3e8b8b6b50bd9ad09e91404d25836e6b0e2"/>
    <w:p>
      <w:pPr>
        <w:pStyle w:val="Heading2"/>
      </w:pPr>
      <w:r>
        <w:t xml:space="preserve">What would constitute a good or bad report?</w:t>
      </w:r>
    </w:p>
    <w:bookmarkStart w:id="29" w:name="bullish-outcome"/>
    <w:p>
      <w:pPr>
        <w:pStyle w:val="Heading3"/>
      </w:pPr>
      <w:r>
        <w:t xml:space="preserve">Bullish outcome</w:t>
      </w:r>
    </w:p>
    <w:p>
      <w:pPr>
        <w:pStyle w:val="Compact"/>
        <w:numPr>
          <w:ilvl w:val="0"/>
          <w:numId w:val="1007"/>
        </w:numPr>
      </w:pPr>
      <w:r>
        <w:t xml:space="preserve">Adjusted EPS above</w:t>
      </w:r>
      <w:r>
        <w:t xml:space="preserve"> </w:t>
      </w:r>
      <w:r>
        <w:rPr>
          <w:b/>
          <w:bCs/>
        </w:rPr>
        <w:t xml:space="preserve">$3.25</w:t>
      </w:r>
    </w:p>
    <w:p>
      <w:pPr>
        <w:pStyle w:val="Compact"/>
        <w:numPr>
          <w:ilvl w:val="0"/>
          <w:numId w:val="1007"/>
        </w:numPr>
      </w:pPr>
      <w:r>
        <w:t xml:space="preserve">Adjusted OR around</w:t>
      </w:r>
      <w:r>
        <w:t xml:space="preserve"> </w:t>
      </w:r>
      <w:r>
        <w:rPr>
          <w:b/>
          <w:bCs/>
        </w:rPr>
        <w:t xml:space="preserve">59% or better</w:t>
      </w:r>
    </w:p>
    <w:p>
      <w:pPr>
        <w:pStyle w:val="Compact"/>
        <w:numPr>
          <w:ilvl w:val="0"/>
          <w:numId w:val="1007"/>
        </w:numPr>
      </w:pPr>
      <w:r>
        <w:t xml:space="preserve">Revenue quality supported by core pricing—not merely fuel surcharges</w:t>
      </w:r>
    </w:p>
    <w:p>
      <w:pPr>
        <w:pStyle w:val="Compact"/>
        <w:numPr>
          <w:ilvl w:val="0"/>
          <w:numId w:val="1007"/>
        </w:numPr>
      </w:pPr>
      <w:r>
        <w:t xml:space="preserve">Traffic growth accompanied by positive incremental margins</w:t>
      </w:r>
    </w:p>
    <w:p>
      <w:pPr>
        <w:pStyle w:val="Compact"/>
        <w:numPr>
          <w:ilvl w:val="0"/>
          <w:numId w:val="1007"/>
        </w:numPr>
      </w:pPr>
      <w:r>
        <w:t xml:space="preserve">Full-year EPS and OR guidance reaffirmed with increased confidence</w:t>
      </w:r>
    </w:p>
    <w:p>
      <w:pPr>
        <w:pStyle w:val="Compact"/>
        <w:numPr>
          <w:ilvl w:val="0"/>
          <w:numId w:val="1007"/>
        </w:numPr>
      </w:pPr>
      <w:r>
        <w:t xml:space="preserve">Merger timetable maintained and no material reduction in expected economics</w:t>
      </w:r>
    </w:p>
    <w:bookmarkEnd w:id="29"/>
    <w:bookmarkStart w:id="30" w:name="neutral-outcome"/>
    <w:p>
      <w:pPr>
        <w:pStyle w:val="Heading3"/>
      </w:pPr>
      <w:r>
        <w:t xml:space="preserve">Neutral outcome</w:t>
      </w:r>
    </w:p>
    <w:p>
      <w:pPr>
        <w:pStyle w:val="Compact"/>
        <w:numPr>
          <w:ilvl w:val="0"/>
          <w:numId w:val="1008"/>
        </w:numPr>
      </w:pPr>
      <w:r>
        <w:t xml:space="preserve">Adjusted EPS of</w:t>
      </w:r>
      <w:r>
        <w:t xml:space="preserve"> </w:t>
      </w:r>
      <m:oMath>
        <m:r>
          <m:t>3.15</m:t>
        </m:r>
        <m:r>
          <m:rPr>
            <m:sty m:val="p"/>
          </m:rPr>
          <m:t>–</m:t>
        </m:r>
      </m:oMath>
      <w:r>
        <w:rPr>
          <w:b/>
          <w:bCs/>
        </w:rPr>
        <w:t xml:space="preserve">3.25</w:t>
      </w:r>
    </w:p>
    <w:p>
      <w:pPr>
        <w:pStyle w:val="Compact"/>
        <w:numPr>
          <w:ilvl w:val="0"/>
          <w:numId w:val="1008"/>
        </w:numPr>
      </w:pPr>
      <w:r>
        <w:t xml:space="preserve">Adjusted OR of approximately</w:t>
      </w:r>
      <w:r>
        <w:t xml:space="preserve"> </w:t>
      </w:r>
      <w:r>
        <w:rPr>
          <w:b/>
          <w:bCs/>
        </w:rPr>
        <w:t xml:space="preserve">59.2%–59.7%</w:t>
      </w:r>
    </w:p>
    <w:p>
      <w:pPr>
        <w:pStyle w:val="Compact"/>
        <w:numPr>
          <w:ilvl w:val="0"/>
          <w:numId w:val="1008"/>
        </w:numPr>
      </w:pPr>
      <w:r>
        <w:t xml:space="preserve">Strong revenue but visible fuel and mix pressure</w:t>
      </w:r>
    </w:p>
    <w:p>
      <w:pPr>
        <w:pStyle w:val="Compact"/>
        <w:numPr>
          <w:ilvl w:val="0"/>
          <w:numId w:val="1008"/>
        </w:numPr>
      </w:pPr>
      <w:r>
        <w:t xml:space="preserve">Full-year targets reiterated without stronger language</w:t>
      </w:r>
    </w:p>
    <w:p>
      <w:pPr>
        <w:pStyle w:val="Compact"/>
        <w:numPr>
          <w:ilvl w:val="0"/>
          <w:numId w:val="1008"/>
        </w:numPr>
      </w:pPr>
      <w:r>
        <w:t xml:space="preserve">Continued merger progress but no major new commitments</w:t>
      </w:r>
    </w:p>
    <w:bookmarkEnd w:id="30"/>
    <w:bookmarkStart w:id="31" w:name="bearish-outcome"/>
    <w:p>
      <w:pPr>
        <w:pStyle w:val="Heading3"/>
      </w:pPr>
      <w:r>
        <w:t xml:space="preserve">Bearish outcome</w:t>
      </w:r>
    </w:p>
    <w:p>
      <w:pPr>
        <w:pStyle w:val="Compact"/>
        <w:numPr>
          <w:ilvl w:val="0"/>
          <w:numId w:val="1009"/>
        </w:numPr>
      </w:pPr>
      <w:r>
        <w:t xml:space="preserve">Adjusted EPS below</w:t>
      </w:r>
      <w:r>
        <w:t xml:space="preserve"> </w:t>
      </w:r>
      <w:r>
        <w:rPr>
          <w:b/>
          <w:bCs/>
        </w:rPr>
        <w:t xml:space="preserve">$3.10</w:t>
      </w:r>
    </w:p>
    <w:p>
      <w:pPr>
        <w:pStyle w:val="Compact"/>
        <w:numPr>
          <w:ilvl w:val="0"/>
          <w:numId w:val="1009"/>
        </w:numPr>
      </w:pPr>
      <w:r>
        <w:t xml:space="preserve">Adjusted OR at or above</w:t>
      </w:r>
      <w:r>
        <w:t xml:space="preserve"> </w:t>
      </w:r>
      <w:r>
        <w:rPr>
          <w:b/>
          <w:bCs/>
        </w:rPr>
        <w:t xml:space="preserve">60%</w:t>
      </w:r>
    </w:p>
    <w:p>
      <w:pPr>
        <w:pStyle w:val="Compact"/>
        <w:numPr>
          <w:ilvl w:val="0"/>
          <w:numId w:val="1009"/>
        </w:numPr>
      </w:pPr>
      <w:r>
        <w:t xml:space="preserve">Core pricing no longer covering inflation</w:t>
      </w:r>
    </w:p>
    <w:p>
      <w:pPr>
        <w:pStyle w:val="Compact"/>
        <w:numPr>
          <w:ilvl w:val="0"/>
          <w:numId w:val="1009"/>
        </w:numPr>
      </w:pPr>
      <w:r>
        <w:t xml:space="preserve">Productivity metrics weakening despite modest volume growth</w:t>
      </w:r>
    </w:p>
    <w:p>
      <w:pPr>
        <w:pStyle w:val="Compact"/>
        <w:numPr>
          <w:ilvl w:val="0"/>
          <w:numId w:val="1009"/>
        </w:numPr>
      </w:pPr>
      <w:r>
        <w:t xml:space="preserve">Full-year OR improvement placed at risk</w:t>
      </w:r>
    </w:p>
    <w:p>
      <w:pPr>
        <w:pStyle w:val="Compact"/>
        <w:numPr>
          <w:ilvl w:val="0"/>
          <w:numId w:val="1009"/>
        </w:numPr>
      </w:pPr>
      <w:r>
        <w:t xml:space="preserve">Larger-than-expected merger expenses or economically significant regulatory concessions</w:t>
      </w:r>
    </w:p>
    <w:bookmarkEnd w:id="31"/>
    <w:bookmarkEnd w:id="32"/>
    <w:bookmarkStart w:id="33" w:name="bottom-line"/>
    <w:p>
      <w:pPr>
        <w:pStyle w:val="Heading2"/>
      </w:pPr>
      <w:r>
        <w:t xml:space="preserve">Bottom line</w:t>
      </w:r>
    </w:p>
    <w:p>
      <w:pPr>
        <w:pStyle w:val="FirstParagraph"/>
      </w:pPr>
      <w:r>
        <w:t xml:space="preserve">The likely headline is respectable EPS growth and strong revenue, but</w:t>
      </w:r>
      <w:r>
        <w:t xml:space="preserve"> </w:t>
      </w:r>
      <w:r>
        <w:rPr>
          <w:b/>
          <w:bCs/>
        </w:rPr>
        <w:t xml:space="preserve">earnings quality will be determined by the operating ratio, core pricing and productivity beneath the fuel-surcharge noise</w:t>
      </w:r>
      <w:r>
        <w:t xml:space="preserve">.</w:t>
      </w:r>
    </w:p>
    <w:p>
      <w:pPr>
        <w:pStyle w:val="BodyText"/>
      </w:pPr>
      <w:r>
        <w:t xml:space="preserve">The fundamental railroad appears to be performing well: service remains strong, traffic improved during Q2 and the company has excess network capacity to absorb growth. The primary risks are fuel-driven margin pressure, less favorable traffic mix and the possibility that merger concessions dilute the strategic upside.</w:t>
      </w:r>
    </w:p>
    <w:p>
      <w:pPr>
        <w:pStyle w:val="BodyText"/>
      </w:pPr>
      <w:r>
        <w:t xml:space="preserve">With the shares already pricing in a meaningful amount of operational and regulatory progress, the most stock-positive report would combine an OR beat with intact guidance and a credible explanation of how UNP can continue improving margins once fuel normalizes. A simple EPS beat driven by surcharge revenue or below-the-line items would be less compelling.</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https://investor.unionpacific.com/news-releases/news-release-details/union-pacific-and-cn-reach-agreement-expand-customer" TargetMode="External" /><Relationship Type="http://schemas.openxmlformats.org/officeDocument/2006/relationships/hyperlink" Id="rId24" Target="https://investor.unionpacific.com/news-releases/news-release-details/union-pacific-and-norfolk-southern-respond-stbs-request" TargetMode="External" /><Relationship Type="http://schemas.openxmlformats.org/officeDocument/2006/relationships/hyperlink" Id="rId9" Target="https://investor.unionpacific.com/news-releases/news-release-details/union-pacific-corporation-announces-second-quarter-2026-earnings?utm_source=openai" TargetMode="External" /><Relationship Type="http://schemas.openxmlformats.org/officeDocument/2006/relationships/hyperlink" Id="rId14" Target="https://investor.unionpacific.com/news-releases/news-release-details/union-pacific-reports-first-quarter-2026-results?utm_source=openai" TargetMode="External" /><Relationship Type="http://schemas.openxmlformats.org/officeDocument/2006/relationships/hyperlink" Id="rId15" Target="https://investor.unionpacific.com/news-releases/news-release-details/union-pacific-reports-second-quarter-2025-results" TargetMode="External" /><Relationship Type="http://schemas.openxmlformats.org/officeDocument/2006/relationships/hyperlink" Id="rId27" Target="https://investor.unionpacific.com/node/30146/pdf?utm_source=openai" TargetMode="External" /><Relationship Type="http://schemas.openxmlformats.org/officeDocument/2006/relationships/hyperlink" Id="rId18" Target="https://investor.unionpacific.com/static-files/595081b9-7ca5-42db-bea9-d4ced2ad73d1" TargetMode="External" /><Relationship Type="http://schemas.openxmlformats.org/officeDocument/2006/relationships/hyperlink" Id="rId22" Target="https://investor.unionpacific.com/static-files/b39a3327-88e9-408d-a2ff-7f31744a08e0?utm_source=openai" TargetMode="External" /><Relationship Type="http://schemas.openxmlformats.org/officeDocument/2006/relationships/hyperlink" Id="rId10" Target="https://www.barchart.com/stocks/quotes/unp/earnings-estimates" TargetMode="External" /><Relationship Type="http://schemas.openxmlformats.org/officeDocument/2006/relationships/hyperlink" Id="rId12" Target="https://www.financialcontent.com/quote/NY%3AUNP/historical?utm_source=openai" TargetMode="External" /><Relationship Type="http://schemas.openxmlformats.org/officeDocument/2006/relationships/hyperlink" Id="rId16" Target="https://www.zacks.com/stock/news/2956189/union-pacific-unp-q2-earnings-preview-what-you-should-know-beyond-the-headline-estimates?utm_source=openai" TargetMode="External" /></Relationships>
</file>

<file path=word/_rels/footnotes.xml.rels><?xml version="1.0" encoding="UTF-8"?><Relationships xmlns="http://schemas.openxmlformats.org/package/2006/relationships"><Relationship Type="http://schemas.openxmlformats.org/officeDocument/2006/relationships/hyperlink" Id="rId25" Target="https://investor.unionpacific.com/news-releases/news-release-details/union-pacific-and-cn-reach-agreement-expand-customer" TargetMode="External" /><Relationship Type="http://schemas.openxmlformats.org/officeDocument/2006/relationships/hyperlink" Id="rId24" Target="https://investor.unionpacific.com/news-releases/news-release-details/union-pacific-and-norfolk-southern-respond-stbs-request" TargetMode="External" /><Relationship Type="http://schemas.openxmlformats.org/officeDocument/2006/relationships/hyperlink" Id="rId9" Target="https://investor.unionpacific.com/news-releases/news-release-details/union-pacific-corporation-announces-second-quarter-2026-earnings?utm_source=openai" TargetMode="External" /><Relationship Type="http://schemas.openxmlformats.org/officeDocument/2006/relationships/hyperlink" Id="rId14" Target="https://investor.unionpacific.com/news-releases/news-release-details/union-pacific-reports-first-quarter-2026-results?utm_source=openai" TargetMode="External" /><Relationship Type="http://schemas.openxmlformats.org/officeDocument/2006/relationships/hyperlink" Id="rId15" Target="https://investor.unionpacific.com/news-releases/news-release-details/union-pacific-reports-second-quarter-2025-results" TargetMode="External" /><Relationship Type="http://schemas.openxmlformats.org/officeDocument/2006/relationships/hyperlink" Id="rId27" Target="https://investor.unionpacific.com/node/30146/pdf?utm_source=openai" TargetMode="External" /><Relationship Type="http://schemas.openxmlformats.org/officeDocument/2006/relationships/hyperlink" Id="rId18" Target="https://investor.unionpacific.com/static-files/595081b9-7ca5-42db-bea9-d4ced2ad73d1" TargetMode="External" /><Relationship Type="http://schemas.openxmlformats.org/officeDocument/2006/relationships/hyperlink" Id="rId22" Target="https://investor.unionpacific.com/static-files/b39a3327-88e9-408d-a2ff-7f31744a08e0?utm_source=openai" TargetMode="External" /><Relationship Type="http://schemas.openxmlformats.org/officeDocument/2006/relationships/hyperlink" Id="rId10" Target="https://www.barchart.com/stocks/quotes/unp/earnings-estimates" TargetMode="External" /><Relationship Type="http://schemas.openxmlformats.org/officeDocument/2006/relationships/hyperlink" Id="rId12" Target="https://www.financialcontent.com/quote/NY%3AUNP/historical?utm_source=openai" TargetMode="External" /><Relationship Type="http://schemas.openxmlformats.org/officeDocument/2006/relationships/hyperlink" Id="rId16" Target="https://www.zacks.com/stock/news/2956189/union-pacific-unp-q2-earnings-preview-what-you-should-know-beyond-the-headline-estimate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2026-07-23T00:35:50Z</dcterms:created>
  <dcterms:modified xsi:type="dcterms:W3CDTF">2026-07-23T00:35:50Z</dcterms:modified>
</cp:coreProperties>
</file>

<file path=docProps/custom.xml><?xml version="1.0" encoding="utf-8"?>
<Properties xmlns="http://schemas.openxmlformats.org/officeDocument/2006/custom-properties" xmlns:vt="http://schemas.openxmlformats.org/officeDocument/2006/docPropsVTypes"/>
</file>