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np-earnings-predictions--2026-07-23"/>
    <w:p>
      <w:pPr>
        <w:pStyle w:val="Heading1"/>
      </w:pPr>
      <w:r>
        <w:t xml:space="preserve">UNP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~$3.36 vs. cons $3.34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Freight revenue excluding fuel surcharge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~4.6% vs. cons 3.2%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ratio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~60.1% vs. cons 59.3%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reported EPS growth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~5.0% vs. cons 5.0%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operating-ratio improvement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~10 bps improvement vs. cons 20 bps improvement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-4.2% (FOLLOW-THROUGH)</w:t>
            </w:r>
          </w:p>
        </w:tc>
        <w:tc>
          <w:tcPr/>
          <w:p>
            <w:pPr>
              <w:pStyle w:val="Compact"/>
            </w:pPr>
            <w:r>
              <w:t xml:space="preserve">Core freight growth should beat, but the ~80-bp adjusted-OR miss and a lower implied FY2026 margin-improvement cadence shift more of the earnings burden to 2H; that creates modest out-period EPS revision risk despite an in-line quarterly EPS result.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2026-07-23T00:32:57Z</dcterms:created>
  <dcterms:modified xsi:type="dcterms:W3CDTF">2026-07-23T00:32:57Z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