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fd100bf08beb73002a69fbfa585379a3274a6d"/>
    <w:p>
      <w:pPr>
        <w:pStyle w:val="Heading1"/>
      </w:pPr>
      <w:r>
        <w:t xml:space="preserve">Union Pacific (NYSE: UNP) — 2Q26 Earnings Preview</w:t>
      </w:r>
    </w:p>
    <w:p>
      <w:pPr>
        <w:pStyle w:val="BlockText"/>
      </w:pPr>
      <w:r>
        <w:rPr>
          <w:b/>
          <w:bCs/>
        </w:rPr>
        <w:t xml:space="preserve">Timing note:</w:t>
      </w:r>
      <w:r>
        <w:t xml:space="preserve"> </w:t>
      </w:r>
      <w:r>
        <w:t xml:space="preserve">The event date given is</w:t>
      </w:r>
      <w:r>
        <w:t xml:space="preserve"> </w:t>
      </w:r>
      <w:r>
        <w:rPr>
          <w:b/>
          <w:bCs/>
        </w:rPr>
        <w:t xml:space="preserve">Thursday, July 23, 2026</w:t>
      </w:r>
      <w:r>
        <w:t xml:space="preserve">. As of July 23, this is</w:t>
      </w:r>
      <w:r>
        <w:t xml:space="preserve"> </w:t>
      </w:r>
      <w:r>
        <w:rPr>
          <w:b/>
          <w:bCs/>
        </w:rPr>
        <w:t xml:space="preserve">today</w:t>
      </w:r>
      <w:r>
        <w:t xml:space="preserve">, not tomorrow.</w:t>
      </w:r>
    </w:p>
    <w:bookmarkStart w:id="9" w:name="Xacc7895ad50fe074b145371867d307e1f9d611b"/>
    <w:p>
      <w:pPr>
        <w:pStyle w:val="Heading2"/>
      </w:pPr>
      <w:r>
        <w:t xml:space="preserve">Investment view: the report is about translating exceptional operations into earnings despite a tougher cost and macro backdrop</w:t>
      </w:r>
    </w:p>
    <w:p>
      <w:pPr>
        <w:pStyle w:val="FirstParagraph"/>
      </w:pPr>
      <w:r>
        <w:t xml:space="preserve">Union Pacific enters 2Q26 with strong operating momentum, favorable commercial opportunities in bulk and industrial freight, and a stock that has already priced in a meaningful amount of good news. The central question is whether the company can convert its service, productivity, and latent capacity into enough volume/revenue growth to offset sharply higher fuel costs, lingering premium-freight weakness, and merger-related expenses.</w:t>
      </w:r>
    </w:p>
    <w:p>
      <w:pPr>
        <w:pStyle w:val="BodyText"/>
      </w:pPr>
      <w:r>
        <w:t xml:space="preserve">The set-up is therefore less about a simple EPS beat/miss and more about four items:</w:t>
      </w:r>
    </w:p>
    <w:p>
      <w:pPr>
        <w:pStyle w:val="Compact"/>
        <w:numPr>
          <w:ilvl w:val="0"/>
          <w:numId w:val="1001"/>
        </w:numPr>
      </w:pPr>
      <w:r>
        <w:rPr>
          <w:b/>
          <w:bCs/>
        </w:rPr>
        <w:t xml:space="preserve">Can UNP reaffirm its 2026 framework for mid-single-digit reported EPS growth and operating-ratio improvement?</w:t>
      </w:r>
    </w:p>
    <w:p>
      <w:pPr>
        <w:pStyle w:val="Compact"/>
        <w:numPr>
          <w:ilvl w:val="0"/>
          <w:numId w:val="1001"/>
        </w:numPr>
      </w:pPr>
      <w:r>
        <w:rPr>
          <w:b/>
          <w:bCs/>
        </w:rPr>
        <w:t xml:space="preserve">How much of the Q2 fuel spike flows through to margins, given the lagged fuel-surcharge recovery?</w:t>
      </w:r>
    </w:p>
    <w:p>
      <w:pPr>
        <w:pStyle w:val="Compact"/>
        <w:numPr>
          <w:ilvl w:val="0"/>
          <w:numId w:val="1001"/>
        </w:numPr>
      </w:pPr>
      <w:r>
        <w:rPr>
          <w:b/>
          <w:bCs/>
        </w:rPr>
        <w:t xml:space="preserve">Are domestic intermodal, industrial projects, grain, and coal strong enough to outweigh weak international intermodal and softer automotive demand?</w:t>
      </w:r>
    </w:p>
    <w:p>
      <w:pPr>
        <w:pStyle w:val="Compact"/>
        <w:numPr>
          <w:ilvl w:val="0"/>
          <w:numId w:val="1001"/>
        </w:numPr>
      </w:pPr>
      <w:r>
        <w:rPr>
          <w:b/>
          <w:bCs/>
        </w:rPr>
        <w:t xml:space="preserve">Does management provide any meaningful update on the proposed Norfolk Southern combination—particularly regulatory timing, costs, and shareholder-return constraints?</w:t>
      </w:r>
    </w:p>
    <w:p>
      <w:r>
        <w:pict>
          <v:rect style="width:0;height:1.5pt" o:hralign="center" o:hrstd="t" o:hr="t"/>
        </w:pict>
      </w:r>
    </w:p>
    <w:bookmarkEnd w:id="9"/>
    <w:bookmarkStart w:id="10" w:name="X98211575e10c525fa4b5f75549ed5355811eef4"/>
    <w:p>
      <w:pPr>
        <w:pStyle w:val="Heading2"/>
      </w:pPr>
      <w:r>
        <w:t xml:space="preserve">What UNP has to beat: a strong but somewhat unusual 2Q25 comparison</w:t>
      </w:r>
    </w:p>
    <w:p>
      <w:pPr>
        <w:pStyle w:val="FirstParagraph"/>
      </w:pPr>
      <w:r>
        <w:t xml:space="preserve">The year-ago quarter was operationally strong and included significant non-recurring items: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2Q25 reported results</w:t>
            </w:r>
          </w:p>
        </w:tc>
        <w:tc>
          <w:tcPr/>
          <w:p>
            <w:pPr>
              <w:pStyle w:val="Compact"/>
              <w:jc w:val="right"/>
            </w:pPr>
            <w:r>
              <w:t xml:space="preserve">Result</w:t>
            </w:r>
          </w:p>
        </w:tc>
      </w:tr>
      <w:tr>
        <w:tc>
          <w:tcPr/>
          <w:p>
            <w:pPr>
              <w:pStyle w:val="Compact"/>
            </w:pPr>
            <w:r>
              <w:t xml:space="preserve">Revenue</w:t>
            </w:r>
          </w:p>
        </w:tc>
        <w:tc>
          <w:tcPr/>
          <w:p>
            <w:pPr>
              <w:pStyle w:val="Compact"/>
              <w:jc w:val="right"/>
            </w:pPr>
            <w:r>
              <w:rPr>
                <w:b/>
                <w:bCs/>
              </w:rPr>
              <w:t xml:space="preserve">$6.15B</w:t>
            </w:r>
          </w:p>
        </w:tc>
      </w:tr>
      <w:tr>
        <w:tc>
          <w:tcPr/>
          <w:p>
            <w:pPr>
              <w:pStyle w:val="Compact"/>
            </w:pPr>
            <w:r>
              <w:t xml:space="preserve">Freight revenue</w:t>
            </w:r>
          </w:p>
        </w:tc>
        <w:tc>
          <w:tcPr/>
          <w:p>
            <w:pPr>
              <w:pStyle w:val="Compact"/>
              <w:jc w:val="right"/>
            </w:pPr>
            <w:r>
              <w:rPr>
                <w:b/>
                <w:bCs/>
              </w:rPr>
              <w:t xml:space="preserve">$5.84B</w:t>
            </w:r>
          </w:p>
        </w:tc>
      </w:tr>
      <w:tr>
        <w:tc>
          <w:tcPr/>
          <w:p>
            <w:pPr>
              <w:pStyle w:val="Compact"/>
            </w:pPr>
            <w:r>
              <w:t xml:space="preserve">Revenue carloads growth</w:t>
            </w:r>
          </w:p>
        </w:tc>
        <w:tc>
          <w:tcPr/>
          <w:p>
            <w:pPr>
              <w:pStyle w:val="Compact"/>
              <w:jc w:val="right"/>
            </w:pPr>
            <w:r>
              <w:rPr>
                <w:b/>
                <w:bCs/>
              </w:rPr>
              <w:t xml:space="preserve">+4%</w:t>
            </w:r>
          </w:p>
        </w:tc>
      </w:tr>
      <w:tr>
        <w:tc>
          <w:tcPr/>
          <w:p>
            <w:pPr>
              <w:pStyle w:val="Compact"/>
            </w:pPr>
            <w:r>
              <w:t xml:space="preserve">Operating ratio</w:t>
            </w:r>
          </w:p>
        </w:tc>
        <w:tc>
          <w:tcPr/>
          <w:p>
            <w:pPr>
              <w:pStyle w:val="Compact"/>
              <w:jc w:val="right"/>
            </w:pPr>
            <w:r>
              <w:rPr>
                <w:b/>
                <w:bCs/>
              </w:rPr>
              <w:t xml:space="preserve">59.0%</w:t>
            </w:r>
          </w:p>
        </w:tc>
      </w:tr>
      <w:tr>
        <w:tc>
          <w:tcPr/>
          <w:p>
            <w:pPr>
              <w:pStyle w:val="Compact"/>
            </w:pPr>
            <w:r>
              <w:t xml:space="preserve">Adjusted operating ratio</w:t>
            </w:r>
          </w:p>
        </w:tc>
        <w:tc>
          <w:tcPr/>
          <w:p>
            <w:pPr>
              <w:pStyle w:val="Compact"/>
              <w:jc w:val="right"/>
            </w:pPr>
            <w:r>
              <w:rPr>
                <w:b/>
                <w:bCs/>
              </w:rPr>
              <w:t xml:space="preserve">58.1%</w:t>
            </w:r>
          </w:p>
        </w:tc>
      </w:tr>
      <w:tr>
        <w:tc>
          <w:tcPr/>
          <w:p>
            <w:pPr>
              <w:pStyle w:val="Compact"/>
            </w:pPr>
            <w:r>
              <w:t xml:space="preserve">Reported diluted EPS</w:t>
            </w:r>
          </w:p>
        </w:tc>
        <w:tc>
          <w:tcPr/>
          <w:p>
            <w:pPr>
              <w:pStyle w:val="Compact"/>
              <w:jc w:val="right"/>
            </w:pPr>
            <w:r>
              <w:rPr>
                <w:b/>
                <w:bCs/>
              </w:rPr>
              <w:t xml:space="preserve">$3.15</w:t>
            </w:r>
          </w:p>
        </w:tc>
      </w:tr>
      <w:tr>
        <w:tc>
          <w:tcPr/>
          <w:p>
            <w:pPr>
              <w:pStyle w:val="Compact"/>
            </w:pPr>
            <w:r>
              <w:t xml:space="preserve">Adjusted diluted EPS</w:t>
            </w:r>
          </w:p>
        </w:tc>
        <w:tc>
          <w:tcPr/>
          <w:p>
            <w:pPr>
              <w:pStyle w:val="Compact"/>
              <w:jc w:val="right"/>
            </w:pPr>
            <w:r>
              <w:rPr>
                <w:b/>
                <w:bCs/>
              </w:rPr>
              <w:t xml:space="preserve">$3.03</w:t>
            </w:r>
          </w:p>
        </w:tc>
      </w:tr>
    </w:tbl>
    <w:p>
      <w:pPr>
        <w:pStyle w:val="BodyText"/>
      </w:pPr>
      <w:r>
        <w:t xml:space="preserve">Reported 2Q25 EPS benefited from a</w:t>
      </w:r>
      <w:r>
        <w:t xml:space="preserve"> </w:t>
      </w:r>
      <m:oMath>
        <m:r>
          <m:t>0.19</m:t>
        </m:r>
        <m:r>
          <m:rPr>
            <m:sty m:val="p"/>
          </m:rPr>
          <m:t>/</m:t>
        </m:r>
        <m:r>
          <m:t>s</m:t>
        </m:r>
        <m:r>
          <m:t>h</m:t>
        </m:r>
        <m:r>
          <m:t>a</m:t>
        </m:r>
        <m:r>
          <m:t>r</m:t>
        </m:r>
        <m:r>
          <m:t>e</m:t>
        </m:r>
        <m:r>
          <m:t>d</m:t>
        </m:r>
        <m:r>
          <m:t>e</m:t>
        </m:r>
        <m:r>
          <m:t>f</m:t>
        </m:r>
        <m:r>
          <m:t>e</m:t>
        </m:r>
        <m:r>
          <m:t>r</m:t>
        </m:r>
        <m:r>
          <m:t>r</m:t>
        </m:r>
        <m:r>
          <m:t>e</m:t>
        </m:r>
        <m:r>
          <m:t>d</m:t>
        </m:r>
        <m:r>
          <m:rPr>
            <m:sty m:val="p"/>
          </m:rPr>
          <m:t>−</m:t>
        </m:r>
        <m:r>
          <m:t>t</m:t>
        </m:r>
        <m:r>
          <m:t>a</m:t>
        </m:r>
        <m:r>
          <m:t>x</m:t>
        </m:r>
        <m:r>
          <m:t>b</m:t>
        </m:r>
        <m:r>
          <m:t>e</m:t>
        </m:r>
        <m:r>
          <m:t>n</m:t>
        </m:r>
        <m:r>
          <m:t>e</m:t>
        </m:r>
        <m:r>
          <m:t>f</m:t>
        </m:r>
        <m:r>
          <m:t>i</m:t>
        </m:r>
        <m:r>
          <m:t>t</m:t>
        </m:r>
        <m:r>
          <m:rPr>
            <m:sty m:val="p"/>
          </m:rPr>
          <m:t>*</m:t>
        </m:r>
        <m:r>
          <m:rPr>
            <m:sty m:val="p"/>
          </m:rPr>
          <m:t>*</m:t>
        </m:r>
        <m:r>
          <m:rPr>
            <m:sty m:val="p"/>
          </m:rPr>
          <m:t>,</m:t>
        </m:r>
        <m:r>
          <m:t>p</m:t>
        </m:r>
        <m:r>
          <m:t>a</m:t>
        </m:r>
        <m:r>
          <m:t>r</m:t>
        </m:r>
        <m:r>
          <m:t>t</m:t>
        </m:r>
        <m:r>
          <m:t>l</m:t>
        </m:r>
        <m:r>
          <m:t>y</m:t>
        </m:r>
        <m:r>
          <m:t>o</m:t>
        </m:r>
        <m:r>
          <m:t>f</m:t>
        </m:r>
        <m:r>
          <m:t>f</m:t>
        </m:r>
        <m:r>
          <m:t>s</m:t>
        </m:r>
        <m:r>
          <m:t>e</m:t>
        </m:r>
        <m:r>
          <m:t>t</m:t>
        </m:r>
        <m:r>
          <m:t>b</m:t>
        </m:r>
        <m:r>
          <m:t>y</m:t>
        </m:r>
        <m:r>
          <m:t>a</m:t>
        </m:r>
        <m:r>
          <m:rPr>
            <m:sty m:val="p"/>
          </m:rPr>
          <m:t>*</m:t>
        </m:r>
        <m:r>
          <m:rPr>
            <m:sty m:val="p"/>
          </m:rPr>
          <m:t>*</m:t>
        </m:r>
      </m:oMath>
      <w:r>
        <w:rPr>
          <w:b/>
          <w:bCs/>
        </w:rPr>
        <w:t xml:space="preserve">0.07/share crew-staffing agreement</w:t>
      </w:r>
      <w:r>
        <w:t xml:space="preserve">. That makes the</w:t>
      </w:r>
      <w:r>
        <w:t xml:space="preserve"> </w:t>
      </w:r>
      <w:r>
        <w:rPr>
          <w:b/>
          <w:bCs/>
        </w:rPr>
        <w:t xml:space="preserve">$3.03 adjusted EPS</w:t>
      </w:r>
      <w:r>
        <w:t xml:space="preserve"> </w:t>
      </w:r>
      <w:r>
        <w:t xml:space="preserve">figure the cleaner baseline for underlying earnings comparisons.</w:t>
      </w:r>
    </w:p>
    <w:p>
      <w:pPr>
        <w:pStyle w:val="BodyText"/>
      </w:pPr>
      <w:r>
        <w:t xml:space="preserve">The 2Q25 freight mix also creates an uneven comparison:</w:t>
      </w:r>
    </w:p>
    <w:p>
      <w:pPr>
        <w:pStyle w:val="Compact"/>
        <w:numPr>
          <w:ilvl w:val="0"/>
          <w:numId w:val="1002"/>
        </w:numPr>
      </w:pPr>
      <w:r>
        <w:rPr>
          <w:b/>
          <w:bCs/>
        </w:rPr>
        <w:t xml:space="preserve">Coal/renewables carloads increased 30%</w:t>
      </w:r>
      <w:r>
        <w:t xml:space="preserve"> </w:t>
      </w:r>
      <w:r>
        <w:t xml:space="preserve">year over year.</w:t>
      </w:r>
    </w:p>
    <w:p>
      <w:pPr>
        <w:pStyle w:val="Compact"/>
        <w:numPr>
          <w:ilvl w:val="0"/>
          <w:numId w:val="1002"/>
        </w:numPr>
      </w:pPr>
      <w:r>
        <w:rPr>
          <w:b/>
          <w:bCs/>
        </w:rPr>
        <w:t xml:space="preserve">Grain carloads increased 8%.</w:t>
      </w:r>
    </w:p>
    <w:p>
      <w:pPr>
        <w:pStyle w:val="Compact"/>
        <w:numPr>
          <w:ilvl w:val="0"/>
          <w:numId w:val="1002"/>
        </w:numPr>
      </w:pPr>
      <w:r>
        <w:rPr>
          <w:b/>
          <w:bCs/>
        </w:rPr>
        <w:t xml:space="preserve">Intermodal carloads grew 2%,</w:t>
      </w:r>
      <w:r>
        <w:t xml:space="preserve"> </w:t>
      </w:r>
      <w:r>
        <w:t xml:space="preserve">but revenue declined 3% on pricing/mix.</w:t>
      </w:r>
    </w:p>
    <w:p>
      <w:pPr>
        <w:pStyle w:val="Compact"/>
        <w:numPr>
          <w:ilvl w:val="0"/>
          <w:numId w:val="1002"/>
        </w:numPr>
      </w:pPr>
      <w:r>
        <w:rPr>
          <w:b/>
          <w:bCs/>
        </w:rPr>
        <w:t xml:space="preserve">Automotive carloads declined 4%.</w:t>
      </w:r>
    </w:p>
    <w:p>
      <w:pPr>
        <w:pStyle w:val="Compact"/>
        <w:numPr>
          <w:ilvl w:val="0"/>
          <w:numId w:val="1002"/>
        </w:numPr>
      </w:pPr>
      <w:r>
        <w:rPr>
          <w:b/>
          <w:bCs/>
        </w:rPr>
        <w:t xml:space="preserve">Industrial carloads increased 3%.</w:t>
      </w:r>
    </w:p>
    <w:p>
      <w:pPr>
        <w:pStyle w:val="FirstParagraph"/>
      </w:pPr>
      <w:r>
        <w:t xml:space="preserve">In short, UNP does not need broad-based strength everywhere to produce a solid quarter—but it needs its growth categories to offset an unfavorable premium-freight and fuel backdrop.</w:t>
      </w:r>
    </w:p>
    <w:p>
      <w:r>
        <w:pict>
          <v:rect style="width:0;height:1.5pt" o:hralign="center" o:hrstd="t" o:hr="t"/>
        </w:pict>
      </w:r>
    </w:p>
    <w:bookmarkEnd w:id="10"/>
    <w:bookmarkStart w:id="11" w:name="Xbf31f72ad9e9362a54518cc81e46af5a2786891"/>
    <w:p>
      <w:pPr>
        <w:pStyle w:val="Heading2"/>
      </w:pPr>
      <w:r>
        <w:t xml:space="preserve">Starting point: 1Q26 showed that the railroad is operating extremely well</w:t>
      </w:r>
    </w:p>
    <w:p>
      <w:pPr>
        <w:pStyle w:val="FirstParagraph"/>
      </w:pPr>
      <w:r>
        <w:t xml:space="preserve">UNP’s 1Q26 was a strong operational and financial start to the year:</w:t>
      </w:r>
    </w:p>
    <w:p>
      <w:pPr>
        <w:pStyle w:val="Compact"/>
        <w:numPr>
          <w:ilvl w:val="0"/>
          <w:numId w:val="1003"/>
        </w:numPr>
      </w:pPr>
      <w:r>
        <w:rPr>
          <w:b/>
          <w:bCs/>
        </w:rPr>
        <w:t xml:space="preserve">Adjusted EPS:</w:t>
      </w:r>
      <w:r>
        <w:t xml:space="preserve"> </w:t>
      </w:r>
      <w:r>
        <w:t xml:space="preserve">$2.93, up 9% year over year.</w:t>
      </w:r>
    </w:p>
    <w:p>
      <w:pPr>
        <w:pStyle w:val="Compact"/>
        <w:numPr>
          <w:ilvl w:val="0"/>
          <w:numId w:val="1003"/>
        </w:numPr>
      </w:pPr>
      <w:r>
        <w:rPr>
          <w:b/>
          <w:bCs/>
        </w:rPr>
        <w:t xml:space="preserve">Freight revenue:</w:t>
      </w:r>
      <w:r>
        <w:t xml:space="preserve"> </w:t>
      </w:r>
      <w:r>
        <w:t xml:space="preserve">+4%, including</w:t>
      </w:r>
      <w:r>
        <w:t xml:space="preserve"> </w:t>
      </w:r>
      <w:r>
        <w:rPr>
          <w:b/>
          <w:bCs/>
        </w:rPr>
        <w:t xml:space="preserve">+3% excluding fuel surcharge</w:t>
      </w:r>
      <w:r>
        <w:t xml:space="preserve">.</w:t>
      </w:r>
    </w:p>
    <w:p>
      <w:pPr>
        <w:pStyle w:val="Compact"/>
        <w:numPr>
          <w:ilvl w:val="0"/>
          <w:numId w:val="1003"/>
        </w:numPr>
      </w:pPr>
      <w:r>
        <w:rPr>
          <w:b/>
          <w:bCs/>
        </w:rPr>
        <w:t xml:space="preserve">Adjusted operating ratio:</w:t>
      </w:r>
      <w:r>
        <w:t xml:space="preserve"> </w:t>
      </w:r>
      <w:r>
        <w:rPr>
          <w:b/>
          <w:bCs/>
        </w:rPr>
        <w:t xml:space="preserve">59.9%</w:t>
      </w:r>
      <w:r>
        <w:t xml:space="preserve">, improving 80 basis points year over year.</w:t>
      </w:r>
    </w:p>
    <w:p>
      <w:pPr>
        <w:pStyle w:val="Compact"/>
        <w:numPr>
          <w:ilvl w:val="0"/>
          <w:numId w:val="1003"/>
        </w:numPr>
      </w:pPr>
      <w:r>
        <w:rPr>
          <w:b/>
          <w:bCs/>
        </w:rPr>
        <w:t xml:space="preserve">Carloads:</w:t>
      </w:r>
      <w:r>
        <w:t xml:space="preserve"> </w:t>
      </w:r>
      <w:r>
        <w:t xml:space="preserve">-1%, demonstrating that price/mix and productivity—not volume alone—drove earnings.</w:t>
      </w:r>
    </w:p>
    <w:p>
      <w:pPr>
        <w:pStyle w:val="Compact"/>
        <w:numPr>
          <w:ilvl w:val="0"/>
          <w:numId w:val="1003"/>
        </w:numPr>
      </w:pPr>
      <w:r>
        <w:rPr>
          <w:b/>
          <w:bCs/>
        </w:rPr>
        <w:t xml:space="preserve">Freight-car velocity:</w:t>
      </w:r>
      <w:r>
        <w:t xml:space="preserve"> </w:t>
      </w:r>
      <w:r>
        <w:t xml:space="preserve">+9%.</w:t>
      </w:r>
    </w:p>
    <w:p>
      <w:pPr>
        <w:pStyle w:val="Compact"/>
        <w:numPr>
          <w:ilvl w:val="0"/>
          <w:numId w:val="1003"/>
        </w:numPr>
      </w:pPr>
      <w:r>
        <w:rPr>
          <w:b/>
          <w:bCs/>
        </w:rPr>
        <w:t xml:space="preserve">Terminal dwell:</w:t>
      </w:r>
      <w:r>
        <w:t xml:space="preserve"> </w:t>
      </w:r>
      <w:r>
        <w:t xml:space="preserve">improved 11% to</w:t>
      </w:r>
      <w:r>
        <w:t xml:space="preserve"> </w:t>
      </w:r>
      <w:r>
        <w:rPr>
          <w:b/>
          <w:bCs/>
        </w:rPr>
        <w:t xml:space="preserve">19.7 hours</w:t>
      </w:r>
      <w:r>
        <w:t xml:space="preserve">.</w:t>
      </w:r>
    </w:p>
    <w:p>
      <w:pPr>
        <w:pStyle w:val="Compact"/>
        <w:numPr>
          <w:ilvl w:val="0"/>
          <w:numId w:val="1003"/>
        </w:numPr>
      </w:pPr>
      <w:r>
        <w:rPr>
          <w:b/>
          <w:bCs/>
        </w:rPr>
        <w:t xml:space="preserve">Workforce productivity:</w:t>
      </w:r>
      <w:r>
        <w:t xml:space="preserve"> </w:t>
      </w:r>
      <w:r>
        <w:t xml:space="preserve">+7%.</w:t>
      </w:r>
    </w:p>
    <w:p>
      <w:pPr>
        <w:pStyle w:val="Compact"/>
        <w:numPr>
          <w:ilvl w:val="0"/>
          <w:numId w:val="1003"/>
        </w:numPr>
      </w:pPr>
      <w:r>
        <w:rPr>
          <w:b/>
          <w:bCs/>
        </w:rPr>
        <w:t xml:space="preserve">Average employees:</w:t>
      </w:r>
      <w:r>
        <w:t xml:space="preserve"> </w:t>
      </w:r>
      <w:r>
        <w:t xml:space="preserve">-5%.</w:t>
      </w:r>
    </w:p>
    <w:p>
      <w:pPr>
        <w:pStyle w:val="Compact"/>
        <w:numPr>
          <w:ilvl w:val="0"/>
          <w:numId w:val="1003"/>
        </w:numPr>
      </w:pPr>
      <w:r>
        <w:rPr>
          <w:b/>
          <w:bCs/>
        </w:rPr>
        <w:t xml:space="preserve">Free cash flow:</w:t>
      </w:r>
      <w:r>
        <w:t xml:space="preserve"> </w:t>
      </w:r>
      <w:r>
        <w:t xml:space="preserve">$631M, versus $468M a year earlier.</w:t>
      </w:r>
    </w:p>
    <w:p>
      <w:pPr>
        <w:pStyle w:val="FirstParagraph"/>
      </w:pPr>
      <w:r>
        <w:t xml:space="preserve">That performance matters for 2Q26 because it implies UNP has more capacity to absorb incremental freight without proportionate labor or locomotive spending. Management said the network has spare capacity, including parked locomotives and terminal/mainline capacity created by longer trains, faster car turns, and infrastructure projects.</w:t>
      </w:r>
    </w:p>
    <w:p>
      <w:pPr>
        <w:pStyle w:val="BodyText"/>
      </w:pPr>
      <w:r>
        <w:rPr>
          <w:b/>
          <w:bCs/>
        </w:rPr>
        <w:t xml:space="preserve">The bullish read-through:</w:t>
      </w:r>
      <w:r>
        <w:t xml:space="preserve"> </w:t>
      </w:r>
      <w:r>
        <w:t xml:space="preserve">an improving freight environment should generate attractive incremental margins.</w:t>
      </w:r>
    </w:p>
    <w:p>
      <w:pPr>
        <w:pStyle w:val="BodyText"/>
      </w:pPr>
      <w:r>
        <w:rPr>
          <w:b/>
          <w:bCs/>
        </w:rPr>
        <w:t xml:space="preserve">The risk:</w:t>
      </w:r>
      <w:r>
        <w:t xml:space="preserve"> </w:t>
      </w:r>
      <w:r>
        <w:t xml:space="preserve">operational excellence is increasingly embedded in expectations. Investors will want to see the productivity gains continue while reported margins remain resilient through the fuel shock.</w:t>
      </w:r>
    </w:p>
    <w:p>
      <w:r>
        <w:pict>
          <v:rect style="width:0;height:1.5pt" o:hralign="center" o:hrstd="t" o:hr="t"/>
        </w:pict>
      </w:r>
    </w:p>
    <w:bookmarkEnd w:id="11"/>
    <w:bookmarkStart w:id="12" w:name="Xdd13c064948db9a4ff81ec474016bd23303cccc"/>
    <w:p>
      <w:pPr>
        <w:pStyle w:val="Heading2"/>
      </w:pPr>
      <w:r>
        <w:t xml:space="preserve">The major swing factor: diesel costs and fuel-surcharge lag</w:t>
      </w:r>
    </w:p>
    <w:p>
      <w:pPr>
        <w:pStyle w:val="FirstParagraph"/>
      </w:pPr>
      <w:r>
        <w:t xml:space="preserve">Fuel is likely the largest near-term risk to 2Q margins.</w:t>
      </w:r>
    </w:p>
    <w:p>
      <w:pPr>
        <w:pStyle w:val="BodyText"/>
      </w:pPr>
      <w:r>
        <w:t xml:space="preserve">At the 1Q call, UNP indicated that it was paying</w:t>
      </w:r>
      <w:r>
        <w:t xml:space="preserve"> </w:t>
      </w:r>
      <w:r>
        <w:rPr>
          <w:b/>
          <w:bCs/>
        </w:rPr>
        <w:t xml:space="preserve">a little over</w:t>
      </w:r>
      <w:r>
        <w:rPr>
          <w:b/>
          <w:bCs/>
        </w:rPr>
        <w:t xml:space="preserve"> </w:t>
      </w:r>
      <m:oMath>
        <m:r>
          <m:t>4</m:t>
        </m:r>
        <m:r>
          <m:t>p</m:t>
        </m:r>
        <m:r>
          <m:t>e</m:t>
        </m:r>
        <m:r>
          <m:t>r</m:t>
        </m:r>
        <m:r>
          <m:t>g</m:t>
        </m:r>
        <m:r>
          <m:t>a</m:t>
        </m:r>
        <m:r>
          <m:t>l</m:t>
        </m:r>
        <m:r>
          <m:t>l</m:t>
        </m:r>
        <m:r>
          <m:t>o</m:t>
        </m:r>
        <m:r>
          <m:t>n</m:t>
        </m:r>
        <m:r>
          <m:rPr>
            <m:sty m:val="p"/>
          </m:rPr>
          <m:t>*</m:t>
        </m:r>
        <m:r>
          <m:rPr>
            <m:sty m:val="p"/>
          </m:rPr>
          <m:t>*</m:t>
        </m:r>
        <m:r>
          <m:t>i</m:t>
        </m:r>
        <m:r>
          <m:t>n</m:t>
        </m:r>
        <m:r>
          <m:t>A</m:t>
        </m:r>
        <m:r>
          <m:t>p</m:t>
        </m:r>
        <m:r>
          <m:t>r</m:t>
        </m:r>
        <m:r>
          <m:t>i</m:t>
        </m:r>
        <m:r>
          <m:t>l</m:t>
        </m:r>
        <m:r>
          <m:rPr>
            <m:sty m:val="p"/>
          </m:rPr>
          <m:t>,</m:t>
        </m:r>
        <m:r>
          <m:t>v</m:t>
        </m:r>
        <m:r>
          <m:t>e</m:t>
        </m:r>
        <m:r>
          <m:t>r</m:t>
        </m:r>
        <m:r>
          <m:t>s</m:t>
        </m:r>
        <m:r>
          <m:t>u</m:t>
        </m:r>
        <m:r>
          <m:t>s</m:t>
        </m:r>
        <m:r>
          <m:t>a</m:t>
        </m:r>
        <m:r>
          <m:t>n</m:t>
        </m:r>
        <m:r>
          <m:t>a</m:t>
        </m:r>
        <m:r>
          <m:t>v</m:t>
        </m:r>
        <m:r>
          <m:t>e</m:t>
        </m:r>
        <m:r>
          <m:t>r</m:t>
        </m:r>
        <m:r>
          <m:t>a</m:t>
        </m:r>
        <m:r>
          <m:t>g</m:t>
        </m:r>
        <m:r>
          <m:t>e</m:t>
        </m:r>
        <m:r>
          <m:t>f</m:t>
        </m:r>
        <m:r>
          <m:t>u</m:t>
        </m:r>
        <m:r>
          <m:t>e</m:t>
        </m:r>
        <m:r>
          <m:t>l</m:t>
        </m:r>
        <m:r>
          <m:t>c</m:t>
        </m:r>
        <m:r>
          <m:t>o</m:t>
        </m:r>
        <m:r>
          <m:t>s</m:t>
        </m:r>
        <m:r>
          <m:t>t</m:t>
        </m:r>
        <m:r>
          <m:t>o</m:t>
        </m:r>
        <m:r>
          <m:t>f</m:t>
        </m:r>
        <m:r>
          <m:rPr>
            <m:sty m:val="p"/>
          </m:rPr>
          <m:t>*</m:t>
        </m:r>
        <m:r>
          <m:rPr>
            <m:sty m:val="p"/>
          </m:rPr>
          <m:t>*</m:t>
        </m:r>
      </m:oMath>
      <w:r>
        <w:rPr>
          <w:b/>
          <w:bCs/>
        </w:rPr>
        <w:t xml:space="preserve">2.69 per gallon in 1Q26</w:t>
      </w:r>
      <w:r>
        <w:t xml:space="preserve"> </w:t>
      </w:r>
      <w:r>
        <w:t xml:space="preserve">and</w:t>
      </w:r>
      <w:r>
        <w:t xml:space="preserve"> </w:t>
      </w:r>
      <m:oMath>
        <m:r>
          <m:t>2.42</m:t>
        </m:r>
        <m:r>
          <m:t>p</m:t>
        </m:r>
        <m:r>
          <m:t>e</m:t>
        </m:r>
        <m:r>
          <m:t>r</m:t>
        </m:r>
        <m:r>
          <m:t>g</m:t>
        </m:r>
        <m:r>
          <m:t>a</m:t>
        </m:r>
        <m:r>
          <m:t>l</m:t>
        </m:r>
        <m:r>
          <m:t>l</m:t>
        </m:r>
        <m:r>
          <m:t>o</m:t>
        </m:r>
        <m:r>
          <m:t>n</m:t>
        </m:r>
        <m:r>
          <m:t>i</m:t>
        </m:r>
        <m:r>
          <m:t>n</m:t>
        </m:r>
        <m:r>
          <m:t>2</m:t>
        </m:r>
        <m:r>
          <m:t>Q</m:t>
        </m:r>
        <m:r>
          <m:t>25</m:t>
        </m:r>
        <m:r>
          <m:rPr>
            <m:sty m:val="p"/>
          </m:rPr>
          <m:t>*</m:t>
        </m:r>
        <m:r>
          <m:rPr>
            <m:sty m:val="p"/>
          </m:rPr>
          <m:t>*</m:t>
        </m:r>
        <m:r>
          <m:rPr>
            <m:sty m:val="p"/>
          </m:rPr>
          <m:t>.</m:t>
        </m:r>
        <m:r>
          <m:t>S</m:t>
        </m:r>
        <m:r>
          <m:t>i</m:t>
        </m:r>
        <m:r>
          <m:t>n</m:t>
        </m:r>
        <m:r>
          <m:t>c</m:t>
        </m:r>
        <m:r>
          <m:t>e</m:t>
        </m:r>
        <m:r>
          <m:t>t</m:t>
        </m:r>
        <m:r>
          <m:t>h</m:t>
        </m:r>
        <m:r>
          <m:t>e</m:t>
        </m:r>
        <m:r>
          <m:t>n</m:t>
        </m:r>
        <m:r>
          <m:rPr>
            <m:sty m:val="p"/>
          </m:rPr>
          <m:t>,</m:t>
        </m:r>
        <m:r>
          <m:t>t</m:t>
        </m:r>
        <m:r>
          <m:t>h</m:t>
        </m:r>
        <m:r>
          <m:t>e</m:t>
        </m:r>
        <m:r>
          <m:t>d</m:t>
        </m:r>
        <m:r>
          <m:t>i</m:t>
        </m:r>
        <m:r>
          <m:t>e</m:t>
        </m:r>
        <m:r>
          <m:t>s</m:t>
        </m:r>
        <m:r>
          <m:t>e</m:t>
        </m:r>
        <m:r>
          <m:t>l</m:t>
        </m:r>
        <m:r>
          <m:t>b</m:t>
        </m:r>
        <m:r>
          <m:t>a</m:t>
        </m:r>
        <m:r>
          <m:t>c</m:t>
        </m:r>
        <m:r>
          <m:t>k</m:t>
        </m:r>
        <m:r>
          <m:t>d</m:t>
        </m:r>
        <m:r>
          <m:t>r</m:t>
        </m:r>
        <m:r>
          <m:t>o</m:t>
        </m:r>
        <m:r>
          <m:t>p</m:t>
        </m:r>
        <m:r>
          <m:t>h</m:t>
        </m:r>
        <m:r>
          <m:t>a</m:t>
        </m:r>
        <m:r>
          <m:t>s</m:t>
        </m:r>
        <m:r>
          <m:t>w</m:t>
        </m:r>
        <m:r>
          <m:t>o</m:t>
        </m:r>
        <m:r>
          <m:t>r</m:t>
        </m:r>
        <m:r>
          <m:t>s</m:t>
        </m:r>
        <m:r>
          <m:t>e</m:t>
        </m:r>
        <m:r>
          <m:t>n</m:t>
        </m:r>
        <m:r>
          <m:t>e</m:t>
        </m:r>
        <m:r>
          <m:t>d</m:t>
        </m:r>
        <m:r>
          <m:t>m</m:t>
        </m:r>
        <m:r>
          <m:t>a</m:t>
        </m:r>
        <m:r>
          <m:t>t</m:t>
        </m:r>
        <m:r>
          <m:t>e</m:t>
        </m:r>
        <m:r>
          <m:t>r</m:t>
        </m:r>
        <m:r>
          <m:t>i</m:t>
        </m:r>
        <m:r>
          <m:t>a</m:t>
        </m:r>
        <m:r>
          <m:t>l</m:t>
        </m:r>
        <m:r>
          <m:t>l</m:t>
        </m:r>
        <m:r>
          <m:t>y</m:t>
        </m:r>
        <m:r>
          <m:rPr>
            <m:sty m:val="p"/>
          </m:rPr>
          <m:t>:</m:t>
        </m:r>
        <m:r>
          <m:t>t</m:t>
        </m:r>
        <m:r>
          <m:t>h</m:t>
        </m:r>
        <m:r>
          <m:t>e</m:t>
        </m:r>
        <m:r>
          <m:t>U</m:t>
        </m:r>
        <m:r>
          <m:rPr>
            <m:sty m:val="p"/>
          </m:rPr>
          <m:t>.</m:t>
        </m:r>
        <m:r>
          <m:t>S</m:t>
        </m:r>
        <m:r>
          <m:rPr>
            <m:sty m:val="p"/>
          </m:rPr>
          <m:t>.</m:t>
        </m:r>
        <m:r>
          <m:t>d</m:t>
        </m:r>
        <m:r>
          <m:t>i</m:t>
        </m:r>
        <m:r>
          <m:t>e</m:t>
        </m:r>
        <m:r>
          <m:t>s</m:t>
        </m:r>
        <m:r>
          <m:t>e</m:t>
        </m:r>
        <m:r>
          <m:t>l</m:t>
        </m:r>
        <m:r>
          <m:t>b</m:t>
        </m:r>
        <m:r>
          <m:t>e</m:t>
        </m:r>
        <m:r>
          <m:t>n</m:t>
        </m:r>
        <m:r>
          <m:t>c</m:t>
        </m:r>
        <m:r>
          <m:t>h</m:t>
        </m:r>
        <m:r>
          <m:t>m</m:t>
        </m:r>
        <m:r>
          <m:t>a</m:t>
        </m:r>
        <m:r>
          <m:t>r</m:t>
        </m:r>
        <m:r>
          <m:t>k</m:t>
        </m:r>
        <m:r>
          <m:t>r</m:t>
        </m:r>
        <m:r>
          <m:t>e</m:t>
        </m:r>
        <m:r>
          <m:t>p</m:t>
        </m:r>
        <m:r>
          <m:t>o</m:t>
        </m:r>
        <m:r>
          <m:t>r</m:t>
        </m:r>
        <m:r>
          <m:t>t</m:t>
        </m:r>
        <m:r>
          <m:t>e</m:t>
        </m:r>
        <m:r>
          <m:t>d</m:t>
        </m:r>
        <m:r>
          <m:t>l</m:t>
        </m:r>
        <m:r>
          <m:t>y</m:t>
        </m:r>
        <m:r>
          <m:t>r</m:t>
        </m:r>
        <m:r>
          <m:t>o</m:t>
        </m:r>
        <m:r>
          <m:t>s</m:t>
        </m:r>
        <m:r>
          <m:t>e</m:t>
        </m:r>
        <m:r>
          <m:t>t</m:t>
        </m:r>
        <m:r>
          <m:t>o</m:t>
        </m:r>
        <m:r>
          <m:rPr>
            <m:sty m:val="p"/>
          </m:rPr>
          <m:t>*</m:t>
        </m:r>
        <m:r>
          <m:rPr>
            <m:sty m:val="p"/>
          </m:rPr>
          <m:t>*</m:t>
        </m:r>
      </m:oMath>
      <w:r>
        <w:rPr>
          <w:b/>
          <w:bCs/>
        </w:rPr>
        <w:t xml:space="preserve">5.13 per gallon</w:t>
      </w:r>
      <w:r>
        <w:t xml:space="preserve"> </w:t>
      </w:r>
      <w:r>
        <w:t xml:space="preserve">in the week preceding the report.</w:t>
      </w:r>
    </w:p>
    <w:p>
      <w:pPr>
        <w:pStyle w:val="BodyText"/>
      </w:pPr>
      <w:r>
        <w:t xml:space="preserve">Fuel surcharges ultimately provide partial recovery, but they are generally</w:t>
      </w:r>
      <w:r>
        <w:t xml:space="preserve"> </w:t>
      </w:r>
      <w:r>
        <w:rPr>
          <w:b/>
          <w:bCs/>
        </w:rPr>
        <w:t xml:space="preserve">lagged</w:t>
      </w:r>
      <w:r>
        <w:t xml:space="preserve">. That produces a familiar rail dynamic:</w:t>
      </w:r>
    </w:p>
    <w:p>
      <w:pPr>
        <w:pStyle w:val="Compact"/>
        <w:numPr>
          <w:ilvl w:val="0"/>
          <w:numId w:val="1004"/>
        </w:numPr>
      </w:pPr>
      <w:r>
        <w:rPr>
          <w:b/>
          <w:bCs/>
        </w:rPr>
        <w:t xml:space="preserve">Revenue may benefit from higher fuel-surcharge dollars</w:t>
      </w:r>
      <w:r>
        <w:t xml:space="preserve">, supporting nominal freight-revenue growth;</w:t>
      </w:r>
    </w:p>
    <w:p>
      <w:pPr>
        <w:pStyle w:val="Compact"/>
        <w:numPr>
          <w:ilvl w:val="0"/>
          <w:numId w:val="1004"/>
        </w:numPr>
      </w:pPr>
      <w:r>
        <w:rPr>
          <w:b/>
          <w:bCs/>
        </w:rPr>
        <w:t xml:space="preserve">Operating ratio may worsen in the near term</w:t>
      </w:r>
      <w:r>
        <w:t xml:space="preserve">, because fuel expense is recognized before surcharge recovery fully catches up;</w:t>
      </w:r>
    </w:p>
    <w:p>
      <w:pPr>
        <w:pStyle w:val="Compact"/>
        <w:numPr>
          <w:ilvl w:val="0"/>
          <w:numId w:val="1004"/>
        </w:numPr>
      </w:pPr>
      <w:r>
        <w:t xml:space="preserve">Investors should focus on</w:t>
      </w:r>
      <w:r>
        <w:t xml:space="preserve"> </w:t>
      </w:r>
      <w:r>
        <w:rPr>
          <w:b/>
          <w:bCs/>
        </w:rPr>
        <w:t xml:space="preserve">freight revenue excluding fuel surcharge</w:t>
      </w:r>
      <w:r>
        <w:t xml:space="preserve">, core pricing, and adjusted OR rather than headline revenue alone.</w:t>
      </w:r>
    </w:p>
    <w:p>
      <w:pPr>
        <w:pStyle w:val="FirstParagraph"/>
      </w:pPr>
      <w:r>
        <w:t xml:space="preserve">Management reaffirmed in April that it still expected full-year operating-ratio improvement despite the fuel pressure. A maintained view would be constructive; any retreat would likely matter more to the stock than a modest quarterly EPS variance.</w:t>
      </w:r>
    </w:p>
    <w:p>
      <w:r>
        <w:pict>
          <v:rect style="width:0;height:1.5pt" o:hralign="center" o:hrstd="t" o:hr="t"/>
        </w:pict>
      </w:r>
    </w:p>
    <w:bookmarkEnd w:id="12"/>
    <w:bookmarkStart w:id="16" w:name="demand-where-investors-should-focus"/>
    <w:p>
      <w:pPr>
        <w:pStyle w:val="Heading2"/>
      </w:pPr>
      <w:r>
        <w:t xml:space="preserve">Demand: where investors should focus</w:t>
      </w:r>
    </w:p>
    <w:bookmarkStart w:id="13" w:name="Xd3821eb0e5846428e04a22bfca6e316b6b59f98"/>
    <w:p>
      <w:pPr>
        <w:pStyle w:val="Heading3"/>
      </w:pPr>
      <w:r>
        <w:t xml:space="preserve">1. Bulk: grain and coal remain the primary upside levers</w:t>
      </w:r>
    </w:p>
    <w:p>
      <w:pPr>
        <w:pStyle w:val="FirstParagraph"/>
      </w:pPr>
      <w:r>
        <w:t xml:space="preserve">Bulk was UNP’s standout business in 1Q:</w:t>
      </w:r>
    </w:p>
    <w:p>
      <w:pPr>
        <w:pStyle w:val="Compact"/>
        <w:numPr>
          <w:ilvl w:val="0"/>
          <w:numId w:val="1005"/>
        </w:numPr>
      </w:pPr>
      <w:r>
        <w:t xml:space="preserve">Revenue grew</w:t>
      </w:r>
      <w:r>
        <w:t xml:space="preserve"> </w:t>
      </w:r>
      <w:r>
        <w:rPr>
          <w:b/>
          <w:bCs/>
        </w:rPr>
        <w:t xml:space="preserve">10%</w:t>
      </w:r>
      <w:r>
        <w:t xml:space="preserve">.</w:t>
      </w:r>
    </w:p>
    <w:p>
      <w:pPr>
        <w:pStyle w:val="Compact"/>
        <w:numPr>
          <w:ilvl w:val="0"/>
          <w:numId w:val="1005"/>
        </w:numPr>
      </w:pPr>
      <w:r>
        <w:t xml:space="preserve">Carloads grew</w:t>
      </w:r>
      <w:r>
        <w:t xml:space="preserve"> </w:t>
      </w:r>
      <w:r>
        <w:rPr>
          <w:b/>
          <w:bCs/>
        </w:rPr>
        <w:t xml:space="preserve">12%</w:t>
      </w:r>
      <w:r>
        <w:t xml:space="preserve">.</w:t>
      </w:r>
    </w:p>
    <w:p>
      <w:pPr>
        <w:pStyle w:val="Compact"/>
        <w:numPr>
          <w:ilvl w:val="0"/>
          <w:numId w:val="1005"/>
        </w:numPr>
      </w:pPr>
      <w:r>
        <w:t xml:space="preserve">Grain carloads grew</w:t>
      </w:r>
      <w:r>
        <w:t xml:space="preserve"> </w:t>
      </w:r>
      <w:r>
        <w:rPr>
          <w:b/>
          <w:bCs/>
        </w:rPr>
        <w:t xml:space="preserve">14%</w:t>
      </w:r>
      <w:r>
        <w:t xml:space="preserve">.</w:t>
      </w:r>
    </w:p>
    <w:p>
      <w:pPr>
        <w:pStyle w:val="Compact"/>
        <w:numPr>
          <w:ilvl w:val="0"/>
          <w:numId w:val="1005"/>
        </w:numPr>
      </w:pPr>
      <w:r>
        <w:t xml:space="preserve">Coal/renewables carloads grew</w:t>
      </w:r>
      <w:r>
        <w:t xml:space="preserve"> </w:t>
      </w:r>
      <w:r>
        <w:rPr>
          <w:b/>
          <w:bCs/>
        </w:rPr>
        <w:t xml:space="preserve">16%</w:t>
      </w:r>
      <w:r>
        <w:t xml:space="preserve">.</w:t>
      </w:r>
    </w:p>
    <w:p>
      <w:pPr>
        <w:pStyle w:val="FirstParagraph"/>
      </w:pPr>
      <w:r>
        <w:t xml:space="preserve">Management cited improving grain export demand, including renewed Chinese demand and growth into Mexico. It also remained constructive on coal, supported by utility demand and favorable natural-gas economics.</w:t>
      </w:r>
    </w:p>
    <w:p>
      <w:pPr>
        <w:pStyle w:val="BodyText"/>
      </w:pPr>
      <w:r>
        <w:t xml:space="preserve">For 2Q, the key question is whether this strength</w:t>
      </w:r>
      <w:r>
        <w:t xml:space="preserve"> </w:t>
      </w:r>
      <w:r>
        <w:rPr>
          <w:b/>
          <w:bCs/>
        </w:rPr>
        <w:t xml:space="preserve">held through more difficult year-over-year comparisons</w:t>
      </w:r>
      <w:r>
        <w:t xml:space="preserve">, especially in coal, where 2Q25 carloads had already surged 30%.</w:t>
      </w:r>
    </w:p>
    <w:p>
      <w:pPr>
        <w:pStyle w:val="BodyText"/>
      </w:pPr>
      <w:r>
        <w:rPr>
          <w:b/>
          <w:bCs/>
        </w:rPr>
        <w:t xml:space="preserve">Watch:</w:t>
      </w:r>
      <w:r>
        <w:t xml:space="preserve"> </w:t>
      </w:r>
      <w:r>
        <w:t xml:space="preserve">grain export demand and routing; coal volumes versus the high prior-year base; pricing versus mix in lower-revenue-per-car bulk traffic.</w:t>
      </w:r>
    </w:p>
    <w:bookmarkEnd w:id="13"/>
    <w:bookmarkStart w:id="14" w:name="X700c055c7acd62ee2a2280e80cbc35857b447a0"/>
    <w:p>
      <w:pPr>
        <w:pStyle w:val="Heading3"/>
      </w:pPr>
      <w:r>
        <w:t xml:space="preserve">2. Industrial: likely the cleanest evidence of self-help and commercial execution</w:t>
      </w:r>
    </w:p>
    <w:p>
      <w:pPr>
        <w:pStyle w:val="FirstParagraph"/>
      </w:pPr>
      <w:r>
        <w:t xml:space="preserve">Industrial was resilient in 1Q:</w:t>
      </w:r>
    </w:p>
    <w:p>
      <w:pPr>
        <w:pStyle w:val="Compact"/>
        <w:numPr>
          <w:ilvl w:val="0"/>
          <w:numId w:val="1006"/>
        </w:numPr>
      </w:pPr>
      <w:r>
        <w:t xml:space="preserve">Revenue:</w:t>
      </w:r>
      <w:r>
        <w:t xml:space="preserve"> </w:t>
      </w:r>
      <w:r>
        <w:rPr>
          <w:b/>
          <w:bCs/>
        </w:rPr>
        <w:t xml:space="preserve">+5%</w:t>
      </w:r>
    </w:p>
    <w:p>
      <w:pPr>
        <w:pStyle w:val="Compact"/>
        <w:numPr>
          <w:ilvl w:val="0"/>
          <w:numId w:val="1006"/>
        </w:numPr>
      </w:pPr>
      <w:r>
        <w:t xml:space="preserve">Carloads:</w:t>
      </w:r>
      <w:r>
        <w:t xml:space="preserve"> </w:t>
      </w:r>
      <w:r>
        <w:rPr>
          <w:b/>
          <w:bCs/>
        </w:rPr>
        <w:t xml:space="preserve">+4%</w:t>
      </w:r>
    </w:p>
    <w:p>
      <w:pPr>
        <w:pStyle w:val="Compact"/>
        <w:numPr>
          <w:ilvl w:val="0"/>
          <w:numId w:val="1006"/>
        </w:numPr>
      </w:pPr>
      <w:r>
        <w:t xml:space="preserve">Chemicals/plastics carloads:</w:t>
      </w:r>
      <w:r>
        <w:t xml:space="preserve"> </w:t>
      </w:r>
      <w:r>
        <w:rPr>
          <w:b/>
          <w:bCs/>
        </w:rPr>
        <w:t xml:space="preserve">+7%</w:t>
      </w:r>
    </w:p>
    <w:p>
      <w:pPr>
        <w:pStyle w:val="Compact"/>
        <w:numPr>
          <w:ilvl w:val="0"/>
          <w:numId w:val="1006"/>
        </w:numPr>
      </w:pPr>
      <w:r>
        <w:t xml:space="preserve">Metals/minerals carloads:</w:t>
      </w:r>
      <w:r>
        <w:t xml:space="preserve"> </w:t>
      </w:r>
      <w:r>
        <w:rPr>
          <w:b/>
          <w:bCs/>
        </w:rPr>
        <w:t xml:space="preserve">+5%</w:t>
      </w:r>
    </w:p>
    <w:p>
      <w:pPr>
        <w:pStyle w:val="FirstParagraph"/>
      </w:pPr>
      <w:r>
        <w:t xml:space="preserve">UNP has emphasized business-development wins tied to construction, data centers, LNG-related projects, petrochemicals, and new customer facilities. Management specifically highlighted Golden Triangle Polymers, a large petrochemical facility expected to begin operations in the third quarter.</w:t>
      </w:r>
    </w:p>
    <w:p>
      <w:pPr>
        <w:pStyle w:val="BodyText"/>
      </w:pPr>
      <w:r>
        <w:t xml:space="preserve">This segment is important because it tests the company’s claim that superior service can allow it to outgrow industrial production even in a subdued macro environment.</w:t>
      </w:r>
    </w:p>
    <w:p>
      <w:pPr>
        <w:pStyle w:val="BodyText"/>
      </w:pPr>
      <w:r>
        <w:rPr>
          <w:b/>
          <w:bCs/>
        </w:rPr>
        <w:t xml:space="preserve">Watch:</w:t>
      </w:r>
      <w:r>
        <w:t xml:space="preserve"> </w:t>
      </w:r>
      <w:r>
        <w:t xml:space="preserve">construction materials, chemicals/plastics, metals, project pipeline conversion, and commentary on housing-linked forest products.</w:t>
      </w:r>
    </w:p>
    <w:bookmarkEnd w:id="14"/>
    <w:bookmarkStart w:id="15" w:name="X85c48531ae0775e2c6cf70f6782a08488cc20bc"/>
    <w:p>
      <w:pPr>
        <w:pStyle w:val="Heading3"/>
      </w:pPr>
      <w:r>
        <w:t xml:space="preserve">3. Premium: domestic intermodal is the offset to international and automotive weakness</w:t>
      </w:r>
    </w:p>
    <w:p>
      <w:pPr>
        <w:pStyle w:val="FirstParagraph"/>
      </w:pPr>
      <w:r>
        <w:t xml:space="preserve">Premium was the weak point in 1Q:</w:t>
      </w:r>
    </w:p>
    <w:p>
      <w:pPr>
        <w:pStyle w:val="Compact"/>
        <w:numPr>
          <w:ilvl w:val="0"/>
          <w:numId w:val="1007"/>
        </w:numPr>
      </w:pPr>
      <w:r>
        <w:t xml:space="preserve">Revenue:</w:t>
      </w:r>
      <w:r>
        <w:t xml:space="preserve"> </w:t>
      </w:r>
      <w:r>
        <w:rPr>
          <w:b/>
          <w:bCs/>
        </w:rPr>
        <w:t xml:space="preserve">-5%</w:t>
      </w:r>
    </w:p>
    <w:p>
      <w:pPr>
        <w:pStyle w:val="Compact"/>
        <w:numPr>
          <w:ilvl w:val="0"/>
          <w:numId w:val="1007"/>
        </w:numPr>
      </w:pPr>
      <w:r>
        <w:t xml:space="preserve">Carloads:</w:t>
      </w:r>
      <w:r>
        <w:t xml:space="preserve"> </w:t>
      </w:r>
      <w:r>
        <w:rPr>
          <w:b/>
          <w:bCs/>
        </w:rPr>
        <w:t xml:space="preserve">-9%</w:t>
      </w:r>
    </w:p>
    <w:p>
      <w:pPr>
        <w:pStyle w:val="Compact"/>
        <w:numPr>
          <w:ilvl w:val="0"/>
          <w:numId w:val="1007"/>
        </w:numPr>
      </w:pPr>
      <w:r>
        <w:t xml:space="preserve">Intermodal carloads:</w:t>
      </w:r>
      <w:r>
        <w:t xml:space="preserve"> </w:t>
      </w:r>
      <w:r>
        <w:rPr>
          <w:b/>
          <w:bCs/>
        </w:rPr>
        <w:t xml:space="preserve">-9%</w:t>
      </w:r>
    </w:p>
    <w:p>
      <w:pPr>
        <w:pStyle w:val="Compact"/>
        <w:numPr>
          <w:ilvl w:val="0"/>
          <w:numId w:val="1007"/>
        </w:numPr>
      </w:pPr>
      <w:r>
        <w:t xml:space="preserve">Automotive carloads:</w:t>
      </w:r>
      <w:r>
        <w:t xml:space="preserve"> </w:t>
      </w:r>
      <w:r>
        <w:rPr>
          <w:b/>
          <w:bCs/>
        </w:rPr>
        <w:t xml:space="preserve">-6%</w:t>
      </w:r>
    </w:p>
    <w:p>
      <w:pPr>
        <w:pStyle w:val="FirstParagraph"/>
      </w:pPr>
      <w:r>
        <w:t xml:space="preserve">The weakness was not uniform. International intermodal volumes fell</w:t>
      </w:r>
      <w:r>
        <w:t xml:space="preserve"> </w:t>
      </w:r>
      <w:r>
        <w:rPr>
          <w:b/>
          <w:bCs/>
        </w:rPr>
        <w:t xml:space="preserve">28%</w:t>
      </w:r>
      <w:r>
        <w:t xml:space="preserve">, driven by lower West Coast imports and customer shifts, while domestic intermodal posted a third consecutive record quarter. Automotive remained pressured by softer vehicle sales, albeit partly offset by new business wins.</w:t>
      </w:r>
    </w:p>
    <w:p>
      <w:pPr>
        <w:pStyle w:val="BodyText"/>
      </w:pPr>
      <w:r>
        <w:t xml:space="preserve">For the quarter, investors should separate:</w:t>
      </w:r>
    </w:p>
    <w:p>
      <w:pPr>
        <w:pStyle w:val="Compact"/>
        <w:numPr>
          <w:ilvl w:val="0"/>
          <w:numId w:val="1008"/>
        </w:numPr>
      </w:pPr>
      <w:r>
        <w:rPr>
          <w:b/>
          <w:bCs/>
        </w:rPr>
        <w:t xml:space="preserve">Domestic intermodal growth:</w:t>
      </w:r>
      <w:r>
        <w:t xml:space="preserve"> </w:t>
      </w:r>
      <w:r>
        <w:t xml:space="preserve">a measure of rail service quality and truck-to-rail conversion;</w:t>
      </w:r>
    </w:p>
    <w:p>
      <w:pPr>
        <w:pStyle w:val="Compact"/>
        <w:numPr>
          <w:ilvl w:val="0"/>
          <w:numId w:val="1008"/>
        </w:numPr>
      </w:pPr>
      <w:r>
        <w:rPr>
          <w:b/>
          <w:bCs/>
        </w:rPr>
        <w:t xml:space="preserve">International intermodal:</w:t>
      </w:r>
      <w:r>
        <w:t xml:space="preserve"> </w:t>
      </w:r>
      <w:r>
        <w:t xml:space="preserve">exposed to West Coast port activity, imports, trade policy, and customer routing;</w:t>
      </w:r>
    </w:p>
    <w:p>
      <w:pPr>
        <w:pStyle w:val="Compact"/>
        <w:numPr>
          <w:ilvl w:val="0"/>
          <w:numId w:val="1008"/>
        </w:numPr>
      </w:pPr>
      <w:r>
        <w:rPr>
          <w:b/>
          <w:bCs/>
        </w:rPr>
        <w:t xml:space="preserve">Automotive:</w:t>
      </w:r>
      <w:r>
        <w:t xml:space="preserve"> </w:t>
      </w:r>
      <w:r>
        <w:t xml:space="preserve">exposed to production schedules, vehicle demand, and North American trade uncertainty.</w:t>
      </w:r>
    </w:p>
    <w:p>
      <w:pPr>
        <w:pStyle w:val="FirstParagraph"/>
      </w:pPr>
      <w:r>
        <w:t xml:space="preserve">A strong domestic-intermodal print would reinforce the thesis that UNP can use its operational improvements to take share. Continued international weakness would be more tolerable if it is being lapped and is no longer deteriorating.</w:t>
      </w:r>
    </w:p>
    <w:p>
      <w:r>
        <w:pict>
          <v:rect style="width:0;height:1.5pt" o:hralign="center" o:hrstd="t" o:hr="t"/>
        </w:pict>
      </w:r>
    </w:p>
    <w:bookmarkEnd w:id="15"/>
    <w:bookmarkEnd w:id="16"/>
    <w:bookmarkStart w:id="19" w:name="X16df53fbed111c264a195a8879a2a60114f9e44"/>
    <w:p>
      <w:pPr>
        <w:pStyle w:val="Heading2"/>
      </w:pPr>
      <w:r>
        <w:t xml:space="preserve">Margin and productivity: the report card is operating ratio, not just EPS</w:t>
      </w:r>
    </w:p>
    <w:p>
      <w:pPr>
        <w:pStyle w:val="FirstParagraph"/>
      </w:pPr>
      <w:r>
        <w:t xml:space="preserve">UNP’s 1Q adjusted OR was</w:t>
      </w:r>
      <w:r>
        <w:t xml:space="preserve"> </w:t>
      </w:r>
      <w:r>
        <w:rPr>
          <w:b/>
          <w:bCs/>
        </w:rPr>
        <w:t xml:space="preserve">59.9%</w:t>
      </w:r>
      <w:r>
        <w:t xml:space="preserve">, and its 2Q25 adjusted OR was</w:t>
      </w:r>
      <w:r>
        <w:t xml:space="preserve"> </w:t>
      </w:r>
      <w:r>
        <w:rPr>
          <w:b/>
          <w:bCs/>
        </w:rPr>
        <w:t xml:space="preserve">58.1%</w:t>
      </w:r>
      <w:r>
        <w:t xml:space="preserve">. The year-ago 2Q margin was unusually strong, so a year-over-year OR increase would not automatically indicate deterioration—particularly if fuel is the main cause.</w:t>
      </w:r>
    </w:p>
    <w:p>
      <w:pPr>
        <w:pStyle w:val="BodyText"/>
      </w:pPr>
      <w:r>
        <w:t xml:space="preserve">Still, the qualitative read on margin will be important:</w:t>
      </w:r>
    </w:p>
    <w:bookmarkStart w:id="17" w:name="constructive-outcome"/>
    <w:p>
      <w:pPr>
        <w:pStyle w:val="Heading3"/>
      </w:pPr>
      <w:r>
        <w:t xml:space="preserve">Constructive outcome</w:t>
      </w:r>
    </w:p>
    <w:p>
      <w:pPr>
        <w:pStyle w:val="Compact"/>
        <w:numPr>
          <w:ilvl w:val="0"/>
          <w:numId w:val="1009"/>
        </w:numPr>
      </w:pPr>
      <w:r>
        <w:t xml:space="preserve">Core pricing remains above inflation;</w:t>
      </w:r>
    </w:p>
    <w:p>
      <w:pPr>
        <w:pStyle w:val="Compact"/>
        <w:numPr>
          <w:ilvl w:val="0"/>
          <w:numId w:val="1009"/>
        </w:numPr>
      </w:pPr>
      <w:r>
        <w:t xml:space="preserve">Freight revenue ex-fuel grows;</w:t>
      </w:r>
    </w:p>
    <w:p>
      <w:pPr>
        <w:pStyle w:val="Compact"/>
        <w:numPr>
          <w:ilvl w:val="0"/>
          <w:numId w:val="1009"/>
        </w:numPr>
      </w:pPr>
      <w:r>
        <w:t xml:space="preserve">Productivity continues to offset compensation inflation;</w:t>
      </w:r>
    </w:p>
    <w:p>
      <w:pPr>
        <w:pStyle w:val="Compact"/>
        <w:numPr>
          <w:ilvl w:val="0"/>
          <w:numId w:val="1009"/>
        </w:numPr>
      </w:pPr>
      <w:r>
        <w:t xml:space="preserve">Fuel is characterized as a temporary timing headwind;</w:t>
      </w:r>
    </w:p>
    <w:p>
      <w:pPr>
        <w:pStyle w:val="Compact"/>
        <w:numPr>
          <w:ilvl w:val="0"/>
          <w:numId w:val="1009"/>
        </w:numPr>
      </w:pPr>
      <w:r>
        <w:t xml:space="preserve">Full-year OR-improvement outlook remains intact.</w:t>
      </w:r>
    </w:p>
    <w:bookmarkEnd w:id="17"/>
    <w:bookmarkStart w:id="18" w:name="less-constructive-outcome"/>
    <w:p>
      <w:pPr>
        <w:pStyle w:val="Heading3"/>
      </w:pPr>
      <w:r>
        <w:t xml:space="preserve">Less constructive outcome</w:t>
      </w:r>
    </w:p>
    <w:p>
      <w:pPr>
        <w:pStyle w:val="Compact"/>
        <w:numPr>
          <w:ilvl w:val="0"/>
          <w:numId w:val="1010"/>
        </w:numPr>
      </w:pPr>
      <w:r>
        <w:t xml:space="preserve">Fuel pressure is compounded by weaker core demand;</w:t>
      </w:r>
    </w:p>
    <w:p>
      <w:pPr>
        <w:pStyle w:val="Compact"/>
        <w:numPr>
          <w:ilvl w:val="0"/>
          <w:numId w:val="1010"/>
        </w:numPr>
      </w:pPr>
      <w:r>
        <w:t xml:space="preserve">Pricing/mix deteriorates, particularly in premium;</w:t>
      </w:r>
    </w:p>
    <w:p>
      <w:pPr>
        <w:pStyle w:val="Compact"/>
        <w:numPr>
          <w:ilvl w:val="0"/>
          <w:numId w:val="1010"/>
        </w:numPr>
      </w:pPr>
      <w:r>
        <w:t xml:space="preserve">Incremental labor, network, or service costs offset productivity;</w:t>
      </w:r>
    </w:p>
    <w:p>
      <w:pPr>
        <w:pStyle w:val="Compact"/>
        <w:numPr>
          <w:ilvl w:val="0"/>
          <w:numId w:val="1010"/>
        </w:numPr>
      </w:pPr>
      <w:r>
        <w:t xml:space="preserve">Management qualifies or withdraws its OR-improvement target.</w:t>
      </w:r>
    </w:p>
    <w:p>
      <w:pPr>
        <w:pStyle w:val="FirstParagraph"/>
      </w:pPr>
      <w:r>
        <w:t xml:space="preserve">In 1Q, UNP expected full-year compensation cost per employee to increase</w:t>
      </w:r>
      <w:r>
        <w:t xml:space="preserve"> </w:t>
      </w:r>
      <w:r>
        <w:rPr>
          <w:b/>
          <w:bCs/>
        </w:rPr>
        <w:t xml:space="preserve">4%–5%</w:t>
      </w:r>
      <w:r>
        <w:t xml:space="preserve">, while it also reduced average headcount 5%. Maintaining the ability to remain “more than volume variable” on labor costs is crucial to the operating-leverage story.</w:t>
      </w:r>
    </w:p>
    <w:p>
      <w:r>
        <w:pict>
          <v:rect style="width:0;height:1.5pt" o:hralign="center" o:hrstd="t" o:hr="t"/>
        </w:pict>
      </w:r>
    </w:p>
    <w:bookmarkEnd w:id="18"/>
    <w:bookmarkEnd w:id="19"/>
    <w:bookmarkStart w:id="20" w:name="X019043e9a945ef9c542570bc0a43f69ee2e8aa9"/>
    <w:p>
      <w:pPr>
        <w:pStyle w:val="Heading2"/>
      </w:pPr>
      <w:r>
        <w:t xml:space="preserve">Merger with Norfolk Southern: strategically important, but near-term earnings-negative</w:t>
      </w:r>
    </w:p>
    <w:p>
      <w:pPr>
        <w:pStyle w:val="FirstParagraph"/>
      </w:pPr>
      <w:r>
        <w:t xml:space="preserve">The proposed Norfolk Southern combination is increasingly relevant to the equity narrative even though it is not the core driver of 2Q standalone operating performance.</w:t>
      </w:r>
    </w:p>
    <w:p>
      <w:pPr>
        <w:pStyle w:val="BodyText"/>
      </w:pPr>
      <w:r>
        <w:t xml:space="preserve">UNP’s 1Q results included</w:t>
      </w:r>
      <w:r>
        <w:t xml:space="preserve"> </w:t>
      </w:r>
      <m:oMath>
        <m:r>
          <m:t>36</m:t>
        </m:r>
        <m:r>
          <m:t>M</m:t>
        </m:r>
        <m:r>
          <m:t>o</m:t>
        </m:r>
        <m:r>
          <m:t>f</m:t>
        </m:r>
        <m:r>
          <m:t>m</m:t>
        </m:r>
        <m:r>
          <m:t>e</m:t>
        </m:r>
        <m:r>
          <m:t>r</m:t>
        </m:r>
        <m:r>
          <m:t>g</m:t>
        </m:r>
        <m:r>
          <m:t>e</m:t>
        </m:r>
        <m:r>
          <m:t>r</m:t>
        </m:r>
        <m:r>
          <m:rPr>
            <m:sty m:val="p"/>
          </m:rPr>
          <m:t>−</m:t>
        </m:r>
        <m:r>
          <m:t>r</m:t>
        </m:r>
        <m:r>
          <m:t>e</m:t>
        </m:r>
        <m:r>
          <m:t>l</m:t>
        </m:r>
        <m:r>
          <m:t>a</m:t>
        </m:r>
        <m:r>
          <m:t>t</m:t>
        </m:r>
        <m:r>
          <m:t>e</m:t>
        </m:r>
        <m:r>
          <m:t>d</m:t>
        </m:r>
        <m:r>
          <m:t>c</m:t>
        </m:r>
        <m:r>
          <m:t>o</m:t>
        </m:r>
        <m:r>
          <m:t>s</m:t>
        </m:r>
        <m:r>
          <m:t>t</m:t>
        </m:r>
        <m:r>
          <m:t>s</m:t>
        </m:r>
        <m:r>
          <m:rPr>
            <m:sty m:val="p"/>
          </m:rPr>
          <m:t>*</m:t>
        </m:r>
        <m:r>
          <m:rPr>
            <m:sty m:val="p"/>
          </m:rPr>
          <m:t>*</m:t>
        </m:r>
        <m:r>
          <m:rPr>
            <m:sty m:val="p"/>
          </m:rPr>
          <m:t>,</m:t>
        </m:r>
        <m:r>
          <m:t>e</m:t>
        </m:r>
        <m:r>
          <m:t>q</m:t>
        </m:r>
        <m:r>
          <m:t>u</m:t>
        </m:r>
        <m:r>
          <m:t>a</m:t>
        </m:r>
        <m:r>
          <m:t>l</m:t>
        </m:r>
        <m:r>
          <m:t>t</m:t>
        </m:r>
        <m:r>
          <m:t>o</m:t>
        </m:r>
        <m:r>
          <m:rPr>
            <m:sty m:val="p"/>
          </m:rPr>
          <m:t>*</m:t>
        </m:r>
        <m:r>
          <m:rPr>
            <m:sty m:val="p"/>
          </m:rPr>
          <m:t>*</m:t>
        </m:r>
      </m:oMath>
      <w:r>
        <w:rPr>
          <w:b/>
          <w:bCs/>
        </w:rPr>
        <w:t xml:space="preserve">0.06 per diluted share</w:t>
      </w:r>
      <w:r>
        <w:t xml:space="preserve">. Management has also said that its 2026 EPS-growth outlook is on a</w:t>
      </w:r>
      <w:r>
        <w:t xml:space="preserve"> </w:t>
      </w:r>
      <w:r>
        <w:rPr>
          <w:b/>
          <w:bCs/>
        </w:rPr>
        <w:t xml:space="preserve">reported</w:t>
      </w:r>
      <w:r>
        <w:t xml:space="preserve"> </w:t>
      </w:r>
      <w:r>
        <w:t xml:space="preserve">basis, meaning it incorporates merger-cost headwinds and the lack of ongoing share repurchases.</w:t>
      </w:r>
    </w:p>
    <w:p>
      <w:pPr>
        <w:pStyle w:val="BodyText"/>
      </w:pPr>
      <w:r>
        <w:t xml:space="preserve">The company previously indicated an expectation of a Surface Transportation Board decision in</w:t>
      </w:r>
      <w:r>
        <w:t xml:space="preserve"> </w:t>
      </w:r>
      <w:r>
        <w:rPr>
          <w:b/>
          <w:bCs/>
        </w:rPr>
        <w:t xml:space="preserve">2Q27</w:t>
      </w:r>
      <w:r>
        <w:t xml:space="preserve">, following a revised application process. The main investor issues are:</w:t>
      </w:r>
    </w:p>
    <w:p>
      <w:pPr>
        <w:pStyle w:val="Compact"/>
        <w:numPr>
          <w:ilvl w:val="0"/>
          <w:numId w:val="1011"/>
        </w:numPr>
      </w:pPr>
      <w:r>
        <w:rPr>
          <w:b/>
          <w:bCs/>
        </w:rPr>
        <w:t xml:space="preserve">Regulatory risk:</w:t>
      </w:r>
      <w:r>
        <w:t xml:space="preserve"> </w:t>
      </w:r>
      <w:r>
        <w:t xml:space="preserve">potential conditions, timing slippage, or a more challenging approval process;</w:t>
      </w:r>
    </w:p>
    <w:p>
      <w:pPr>
        <w:pStyle w:val="Compact"/>
        <w:numPr>
          <w:ilvl w:val="0"/>
          <w:numId w:val="1011"/>
        </w:numPr>
      </w:pPr>
      <w:r>
        <w:rPr>
          <w:b/>
          <w:bCs/>
        </w:rPr>
        <w:t xml:space="preserve">Execution risk:</w:t>
      </w:r>
      <w:r>
        <w:t xml:space="preserve"> </w:t>
      </w:r>
      <w:r>
        <w:t xml:space="preserve">systems integration and service preservation;</w:t>
      </w:r>
    </w:p>
    <w:p>
      <w:pPr>
        <w:pStyle w:val="Compact"/>
        <w:numPr>
          <w:ilvl w:val="0"/>
          <w:numId w:val="1011"/>
        </w:numPr>
      </w:pPr>
      <w:r>
        <w:rPr>
          <w:b/>
          <w:bCs/>
        </w:rPr>
        <w:t xml:space="preserve">Capital-allocation impact:</w:t>
      </w:r>
      <w:r>
        <w:t xml:space="preserve"> </w:t>
      </w:r>
      <w:r>
        <w:t xml:space="preserve">merger expenses, share issuance, debt considerations, and suspended buybacks;</w:t>
      </w:r>
    </w:p>
    <w:p>
      <w:pPr>
        <w:pStyle w:val="Compact"/>
        <w:numPr>
          <w:ilvl w:val="0"/>
          <w:numId w:val="1011"/>
        </w:numPr>
      </w:pPr>
      <w:r>
        <w:rPr>
          <w:b/>
          <w:bCs/>
        </w:rPr>
        <w:t xml:space="preserve">Strategic upside:</w:t>
      </w:r>
      <w:r>
        <w:t xml:space="preserve"> </w:t>
      </w:r>
      <w:r>
        <w:t xml:space="preserve">single-line service, faster transit, fewer interchanges, incremental volume opportunities, and longer-run cost/productivity benefits.</w:t>
      </w:r>
    </w:p>
    <w:p>
      <w:pPr>
        <w:pStyle w:val="FirstParagraph"/>
      </w:pPr>
      <w:r>
        <w:t xml:space="preserve">For this quarter, a</w:t>
      </w:r>
      <w:r>
        <w:t xml:space="preserve"> </w:t>
      </w:r>
      <w:r>
        <w:rPr>
          <w:b/>
          <w:bCs/>
        </w:rPr>
        <w:t xml:space="preserve">steady regulatory-timing message and no increase in expected disruption or cost</w:t>
      </w:r>
      <w:r>
        <w:t xml:space="preserve"> </w:t>
      </w:r>
      <w:r>
        <w:t xml:space="preserve">would likely be enough. An unexpected change in the transaction’s outlook could overshadow otherwise solid operating results.</w:t>
      </w:r>
    </w:p>
    <w:p>
      <w:r>
        <w:pict>
          <v:rect style="width:0;height:1.5pt" o:hralign="center" o:hrstd="t" o:hr="t"/>
        </w:pict>
      </w:r>
    </w:p>
    <w:bookmarkEnd w:id="20"/>
    <w:bookmarkStart w:id="21" w:name="Xc6dddd97855b4dac485e0705953e9c198713c22"/>
    <w:p>
      <w:pPr>
        <w:pStyle w:val="Heading2"/>
      </w:pPr>
      <w:r>
        <w:t xml:space="preserve">Stock set-up: expectations are no longer low</w:t>
      </w:r>
    </w:p>
    <w:p>
      <w:pPr>
        <w:pStyle w:val="FirstParagraph"/>
      </w:pPr>
      <w:r>
        <w:t xml:space="preserve">UNP closed at</w:t>
      </w:r>
      <w:r>
        <w:t xml:space="preserve"> </w:t>
      </w:r>
      <w:r>
        <w:rPr>
          <w:b/>
          <w:bCs/>
        </w:rPr>
        <w:t xml:space="preserve">$292.60 on July 22, 2026</w:t>
      </w:r>
      <w:r>
        <w:t xml:space="preserve">, up approximately</w:t>
      </w:r>
      <w:r>
        <w:t xml:space="preserve"> </w:t>
      </w:r>
      <w:r>
        <w:rPr>
          <w:b/>
          <w:bCs/>
        </w:rPr>
        <w:t xml:space="preserve">26.5%</w:t>
      </w:r>
      <w:r>
        <w:t xml:space="preserve"> </w:t>
      </w:r>
      <w:r>
        <w:t xml:space="preserve">from $231.32 at year-end 2025. The shares have appreciated sharply into earnings, including a large post-1Q move, reflecting optimism around operating performance, potential volume recovery, and industry consolidation.</w:t>
      </w:r>
    </w:p>
    <w:p>
      <w:pPr>
        <w:pStyle w:val="BodyText"/>
      </w:pPr>
      <w:r>
        <w:t xml:space="preserve">That means the stock likely needs more than a narrow beat:</w:t>
      </w:r>
    </w:p>
    <w:p>
      <w:pPr>
        <w:pStyle w:val="Compact"/>
        <w:numPr>
          <w:ilvl w:val="0"/>
          <w:numId w:val="1012"/>
        </w:numPr>
      </w:pPr>
      <w:r>
        <w:t xml:space="preserve">A</w:t>
      </w:r>
      <w:r>
        <w:t xml:space="preserve"> </w:t>
      </w:r>
      <w:r>
        <w:rPr>
          <w:b/>
          <w:bCs/>
        </w:rPr>
        <w:t xml:space="preserve">clean beat with reaffirmed guidance</w:t>
      </w:r>
      <w:r>
        <w:t xml:space="preserve"> </w:t>
      </w:r>
      <w:r>
        <w:t xml:space="preserve">may be viewed as validation but could be insufficient if the market was already positioned for it.</w:t>
      </w:r>
    </w:p>
    <w:p>
      <w:pPr>
        <w:pStyle w:val="Compact"/>
        <w:numPr>
          <w:ilvl w:val="0"/>
          <w:numId w:val="1012"/>
        </w:numPr>
      </w:pPr>
      <w:r>
        <w:t xml:space="preserve">A</w:t>
      </w:r>
      <w:r>
        <w:t xml:space="preserve"> </w:t>
      </w:r>
      <w:r>
        <w:rPr>
          <w:b/>
          <w:bCs/>
        </w:rPr>
        <w:t xml:space="preserve">fuel-driven margin miss with unchanged full-year guidance</w:t>
      </w:r>
      <w:r>
        <w:t xml:space="preserve"> </w:t>
      </w:r>
      <w:r>
        <w:t xml:space="preserve">could be manageable.</w:t>
      </w:r>
    </w:p>
    <w:p>
      <w:pPr>
        <w:pStyle w:val="Compact"/>
        <w:numPr>
          <w:ilvl w:val="0"/>
          <w:numId w:val="1012"/>
        </w:numPr>
      </w:pPr>
      <w:r>
        <w:t xml:space="preserve">A</w:t>
      </w:r>
      <w:r>
        <w:t xml:space="preserve"> </w:t>
      </w:r>
      <w:r>
        <w:rPr>
          <w:b/>
          <w:bCs/>
        </w:rPr>
        <w:t xml:space="preserve">guide-down, OR-outlook reset, or evidence of weakening domestic demand</w:t>
      </w:r>
      <w:r>
        <w:t xml:space="preserve"> </w:t>
      </w:r>
      <w:r>
        <w:t xml:space="preserve">would be more problematic given the elevated expectations.</w:t>
      </w:r>
    </w:p>
    <w:p>
      <w:r>
        <w:pict>
          <v:rect style="width:0;height:1.5pt" o:hralign="center" o:hrstd="t" o:hr="t"/>
        </w:pict>
      </w:r>
    </w:p>
    <w:bookmarkEnd w:id="21"/>
    <w:bookmarkStart w:id="23" w:name="what-matters-most-on-the-call"/>
    <w:p>
      <w:pPr>
        <w:pStyle w:val="Heading2"/>
      </w:pPr>
      <w:r>
        <w:t xml:space="preserve">What matters most on the call</w:t>
      </w:r>
    </w:p>
    <w:bookmarkStart w:id="22" w:name="top-questions-for-management"/>
    <w:p>
      <w:pPr>
        <w:pStyle w:val="Heading3"/>
      </w:pPr>
      <w:r>
        <w:t xml:space="preserve">Top questions for management</w:t>
      </w:r>
    </w:p>
    <w:p>
      <w:pPr>
        <w:pStyle w:val="Compact"/>
        <w:numPr>
          <w:ilvl w:val="0"/>
          <w:numId w:val="1013"/>
        </w:numPr>
      </w:pPr>
      <w:r>
        <w:rPr>
          <w:b/>
          <w:bCs/>
        </w:rPr>
        <w:t xml:space="preserve">Does UNP reaffirm mid-single-digit reported EPS growth and operating-ratio improvement for 2026?</w:t>
      </w:r>
    </w:p>
    <w:p>
      <w:pPr>
        <w:pStyle w:val="Compact"/>
        <w:numPr>
          <w:ilvl w:val="0"/>
          <w:numId w:val="1013"/>
        </w:numPr>
      </w:pPr>
      <w:r>
        <w:rPr>
          <w:b/>
          <w:bCs/>
        </w:rPr>
        <w:t xml:space="preserve">What was the effective fuel-cost impact in Q2, and when should surcharge recovery catch up?</w:t>
      </w:r>
    </w:p>
    <w:p>
      <w:pPr>
        <w:pStyle w:val="Compact"/>
        <w:numPr>
          <w:ilvl w:val="0"/>
          <w:numId w:val="1013"/>
        </w:numPr>
      </w:pPr>
      <w:r>
        <w:rPr>
          <w:b/>
          <w:bCs/>
        </w:rPr>
        <w:t xml:space="preserve">How did freight revenue perform excluding fuel surcharge?</w:t>
      </w:r>
    </w:p>
    <w:p>
      <w:pPr>
        <w:pStyle w:val="Compact"/>
        <w:numPr>
          <w:ilvl w:val="0"/>
          <w:numId w:val="1013"/>
        </w:numPr>
      </w:pPr>
      <w:r>
        <w:rPr>
          <w:b/>
          <w:bCs/>
        </w:rPr>
        <w:t xml:space="preserve">Did domestic intermodal continue to grow, and is international intermodal now stabilizing?</w:t>
      </w:r>
    </w:p>
    <w:p>
      <w:pPr>
        <w:pStyle w:val="Compact"/>
        <w:numPr>
          <w:ilvl w:val="0"/>
          <w:numId w:val="1013"/>
        </w:numPr>
      </w:pPr>
      <w:r>
        <w:rPr>
          <w:b/>
          <w:bCs/>
        </w:rPr>
        <w:t xml:space="preserve">Can grain and coal remain positive despite tougher comparisons?</w:t>
      </w:r>
    </w:p>
    <w:p>
      <w:pPr>
        <w:pStyle w:val="Compact"/>
        <w:numPr>
          <w:ilvl w:val="0"/>
          <w:numId w:val="1013"/>
        </w:numPr>
      </w:pPr>
      <w:r>
        <w:rPr>
          <w:b/>
          <w:bCs/>
        </w:rPr>
        <w:t xml:space="preserve">Are industrial project wins converting to revenue and carloads as expected?</w:t>
      </w:r>
    </w:p>
    <w:p>
      <w:pPr>
        <w:pStyle w:val="Compact"/>
        <w:numPr>
          <w:ilvl w:val="0"/>
          <w:numId w:val="1013"/>
        </w:numPr>
      </w:pPr>
      <w:r>
        <w:rPr>
          <w:b/>
          <w:bCs/>
        </w:rPr>
        <w:t xml:space="preserve">What is the outlook for auto amid trade-policy and production uncertainty?</w:t>
      </w:r>
    </w:p>
    <w:p>
      <w:pPr>
        <w:pStyle w:val="Compact"/>
        <w:numPr>
          <w:ilvl w:val="0"/>
          <w:numId w:val="1013"/>
        </w:numPr>
      </w:pPr>
      <w:r>
        <w:rPr>
          <w:b/>
          <w:bCs/>
        </w:rPr>
        <w:t xml:space="preserve">Are productivity and headcount gains continuing at a pace sufficient to protect margins?</w:t>
      </w:r>
    </w:p>
    <w:p>
      <w:pPr>
        <w:pStyle w:val="Compact"/>
        <w:numPr>
          <w:ilvl w:val="0"/>
          <w:numId w:val="1013"/>
        </w:numPr>
      </w:pPr>
      <w:r>
        <w:rPr>
          <w:b/>
          <w:bCs/>
        </w:rPr>
        <w:t xml:space="preserve">Has the Norfolk Southern regulatory timeline, cost outlook, or capital-allocation posture changed?</w:t>
      </w:r>
    </w:p>
    <w:p>
      <w:r>
        <w:pict>
          <v:rect style="width:0;height:1.5pt" o:hralign="center" o:hrstd="t" o:hr="t"/>
        </w:pict>
      </w:r>
    </w:p>
    <w:bookmarkEnd w:id="22"/>
    <w:bookmarkEnd w:id="23"/>
    <w:bookmarkStart w:id="27" w:name="earnings-scenarios"/>
    <w:p>
      <w:pPr>
        <w:pStyle w:val="Heading2"/>
      </w:pPr>
      <w:r>
        <w:t xml:space="preserve">Earnings scenarios</w:t>
      </w:r>
    </w:p>
    <w:bookmarkStart w:id="24" w:name="bull-case"/>
    <w:p>
      <w:pPr>
        <w:pStyle w:val="Heading3"/>
      </w:pPr>
      <w:r>
        <w:t xml:space="preserve">Bull case</w:t>
      </w:r>
    </w:p>
    <w:p>
      <w:pPr>
        <w:pStyle w:val="Compact"/>
        <w:numPr>
          <w:ilvl w:val="0"/>
          <w:numId w:val="1014"/>
        </w:numPr>
      </w:pPr>
      <w:r>
        <w:t xml:space="preserve">Freight revenue ex-fuel accelerates;</w:t>
      </w:r>
    </w:p>
    <w:p>
      <w:pPr>
        <w:pStyle w:val="Compact"/>
        <w:numPr>
          <w:ilvl w:val="0"/>
          <w:numId w:val="1014"/>
        </w:numPr>
      </w:pPr>
      <w:r>
        <w:t xml:space="preserve">Bulk and industrial remain strong;</w:t>
      </w:r>
    </w:p>
    <w:p>
      <w:pPr>
        <w:pStyle w:val="Compact"/>
        <w:numPr>
          <w:ilvl w:val="0"/>
          <w:numId w:val="1014"/>
        </w:numPr>
      </w:pPr>
      <w:r>
        <w:t xml:space="preserve">Domestic intermodal continues to take share;</w:t>
      </w:r>
    </w:p>
    <w:p>
      <w:pPr>
        <w:pStyle w:val="Compact"/>
        <w:numPr>
          <w:ilvl w:val="0"/>
          <w:numId w:val="1014"/>
        </w:numPr>
      </w:pPr>
      <w:r>
        <w:t xml:space="preserve">Productivity offsets the fuel spike better than feared;</w:t>
      </w:r>
    </w:p>
    <w:p>
      <w:pPr>
        <w:pStyle w:val="Compact"/>
        <w:numPr>
          <w:ilvl w:val="0"/>
          <w:numId w:val="1014"/>
        </w:numPr>
      </w:pPr>
      <w:r>
        <w:t xml:space="preserve">2026 EPS and OR outlook are reaffirmed clearly;</w:t>
      </w:r>
    </w:p>
    <w:p>
      <w:pPr>
        <w:pStyle w:val="Compact"/>
        <w:numPr>
          <w:ilvl w:val="0"/>
          <w:numId w:val="1014"/>
        </w:numPr>
      </w:pPr>
      <w:r>
        <w:t xml:space="preserve">Merger commentary remains stable.</w:t>
      </w:r>
    </w:p>
    <w:p>
      <w:pPr>
        <w:pStyle w:val="FirstParagraph"/>
      </w:pPr>
      <w:r>
        <w:rPr>
          <w:b/>
          <w:bCs/>
        </w:rPr>
        <w:t xml:space="preserve">Implication:</w:t>
      </w:r>
      <w:r>
        <w:t xml:space="preserve"> </w:t>
      </w:r>
      <w:r>
        <w:t xml:space="preserve">supports the case that UNP can sustain high incremental margins when freight demand improves.</w:t>
      </w:r>
    </w:p>
    <w:bookmarkEnd w:id="24"/>
    <w:bookmarkStart w:id="25" w:name="base-case"/>
    <w:p>
      <w:pPr>
        <w:pStyle w:val="Heading3"/>
      </w:pPr>
      <w:r>
        <w:t xml:space="preserve">Base case</w:t>
      </w:r>
    </w:p>
    <w:p>
      <w:pPr>
        <w:pStyle w:val="Compact"/>
        <w:numPr>
          <w:ilvl w:val="0"/>
          <w:numId w:val="1015"/>
        </w:numPr>
      </w:pPr>
      <w:r>
        <w:t xml:space="preserve">Revenue and EPS are broadly in line;</w:t>
      </w:r>
    </w:p>
    <w:p>
      <w:pPr>
        <w:pStyle w:val="Compact"/>
        <w:numPr>
          <w:ilvl w:val="0"/>
          <w:numId w:val="1015"/>
        </w:numPr>
      </w:pPr>
      <w:r>
        <w:t xml:space="preserve">Fuel pressure weighs on quarterly OR;</w:t>
      </w:r>
    </w:p>
    <w:p>
      <w:pPr>
        <w:pStyle w:val="Compact"/>
        <w:numPr>
          <w:ilvl w:val="0"/>
          <w:numId w:val="1015"/>
        </w:numPr>
      </w:pPr>
      <w:r>
        <w:t xml:space="preserve">Grain, coal, and industrial offset continuing international-intermodal/auto softness;</w:t>
      </w:r>
    </w:p>
    <w:p>
      <w:pPr>
        <w:pStyle w:val="Compact"/>
        <w:numPr>
          <w:ilvl w:val="0"/>
          <w:numId w:val="1015"/>
        </w:numPr>
      </w:pPr>
      <w:r>
        <w:t xml:space="preserve">Full-year guidance is maintained, with fuel framed as a temporary headwind.</w:t>
      </w:r>
    </w:p>
    <w:p>
      <w:pPr>
        <w:pStyle w:val="FirstParagraph"/>
      </w:pPr>
      <w:r>
        <w:rPr>
          <w:b/>
          <w:bCs/>
        </w:rPr>
        <w:t xml:space="preserve">Implication:</w:t>
      </w:r>
      <w:r>
        <w:t xml:space="preserve"> </w:t>
      </w:r>
      <w:r>
        <w:t xml:space="preserve">likely a fundamentally acceptable quarter, though stock reaction may depend on how much strength was already priced in.</w:t>
      </w:r>
    </w:p>
    <w:bookmarkEnd w:id="25"/>
    <w:bookmarkStart w:id="26" w:name="bear-case"/>
    <w:p>
      <w:pPr>
        <w:pStyle w:val="Heading3"/>
      </w:pPr>
      <w:r>
        <w:t xml:space="preserve">Bear case</w:t>
      </w:r>
    </w:p>
    <w:p>
      <w:pPr>
        <w:pStyle w:val="Compact"/>
        <w:numPr>
          <w:ilvl w:val="0"/>
          <w:numId w:val="1016"/>
        </w:numPr>
      </w:pPr>
      <w:r>
        <w:t xml:space="preserve">Fuel pressure is worse than expected and surcharge recovery is delayed;</w:t>
      </w:r>
    </w:p>
    <w:p>
      <w:pPr>
        <w:pStyle w:val="Compact"/>
        <w:numPr>
          <w:ilvl w:val="0"/>
          <w:numId w:val="1016"/>
        </w:numPr>
      </w:pPr>
      <w:r>
        <w:t xml:space="preserve">Bulk growth fades against hard comparisons;</w:t>
      </w:r>
    </w:p>
    <w:p>
      <w:pPr>
        <w:pStyle w:val="Compact"/>
        <w:numPr>
          <w:ilvl w:val="0"/>
          <w:numId w:val="1016"/>
        </w:numPr>
      </w:pPr>
      <w:r>
        <w:t xml:space="preserve">International intermodal and auto remain weak without enough domestic offset;</w:t>
      </w:r>
    </w:p>
    <w:p>
      <w:pPr>
        <w:pStyle w:val="Compact"/>
        <w:numPr>
          <w:ilvl w:val="0"/>
          <w:numId w:val="1016"/>
        </w:numPr>
      </w:pPr>
      <w:r>
        <w:t xml:space="preserve">Pricing/mix softens;</w:t>
      </w:r>
    </w:p>
    <w:p>
      <w:pPr>
        <w:pStyle w:val="Compact"/>
        <w:numPr>
          <w:ilvl w:val="0"/>
          <w:numId w:val="1016"/>
        </w:numPr>
      </w:pPr>
      <w:r>
        <w:t xml:space="preserve">Management tempers the OR or EPS outlook, or merger costs/regulatory uncertainty rise.</w:t>
      </w:r>
    </w:p>
    <w:p>
      <w:pPr>
        <w:pStyle w:val="FirstParagraph"/>
      </w:pPr>
      <w:r>
        <w:rPr>
          <w:b/>
          <w:bCs/>
        </w:rPr>
        <w:t xml:space="preserve">Implication:</w:t>
      </w:r>
      <w:r>
        <w:t xml:space="preserve"> </w:t>
      </w:r>
      <w:r>
        <w:t xml:space="preserve">a higher-risk outcome for a stock that has rallied materially year to date.</w:t>
      </w:r>
    </w:p>
    <w:p>
      <w:r>
        <w:pict>
          <v:rect style="width:0;height:1.5pt" o:hralign="center" o:hrstd="t" o:hr="t"/>
        </w:pict>
      </w:r>
    </w:p>
    <w:bookmarkEnd w:id="26"/>
    <w:bookmarkEnd w:id="27"/>
    <w:bookmarkStart w:id="28" w:name="bottom-line"/>
    <w:p>
      <w:pPr>
        <w:pStyle w:val="Heading2"/>
      </w:pPr>
      <w:r>
        <w:t xml:space="preserve">Bottom line</w:t>
      </w:r>
    </w:p>
    <w:p>
      <w:pPr>
        <w:pStyle w:val="FirstParagraph"/>
      </w:pPr>
      <w:r>
        <w:t xml:space="preserve">UNP’s 2Q26 report should demonstrate whether a best-in-class operating railroad can maintain earnings momentum through a volatile fuel and trade environment. The company’s service and productivity are the clearest strengths; the key debate is whether they are enough to preserve margin improvement while fuel costs rise and premium freight remains uneven.</w:t>
      </w:r>
    </w:p>
    <w:p>
      <w:pPr>
        <w:pStyle w:val="BodyText"/>
      </w:pPr>
      <w:r>
        <w:rPr>
          <w:b/>
          <w:bCs/>
        </w:rPr>
        <w:t xml:space="preserve">The single most important takeaway:</w:t>
      </w:r>
      <w:r>
        <w:t xml:space="preserve"> </w:t>
      </w:r>
      <w:r>
        <w:t xml:space="preserve">watch for confidence in the full-year operating-ratio-improvement target. If UNP can retain that outlook while absorbing the Q2 fuel shock, it would reinforce the long-term operating-leverage thesis.</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2026-07-23T00:32:57Z</dcterms:created>
  <dcterms:modified xsi:type="dcterms:W3CDTF">2026-07-23T00:32:57Z</dcterms:modified>
</cp:coreProperties>
</file>

<file path=docProps/custom.xml><?xml version="1.0" encoding="utf-8"?>
<Properties xmlns="http://schemas.openxmlformats.org/officeDocument/2006/custom-properties" xmlns:vt="http://schemas.openxmlformats.org/officeDocument/2006/docPropsVTypes"/>
</file>