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Union Pacific Corporation (UNP)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Union Pacific Corporation</w:t>
            </w:r>
          </w:p>
        </w:tc>
      </w:tr>
      <w:tr>
        <w:tc>
          <w:tcPr>
            <w:tcW w:type="dxa" w:w="4320"/>
          </w:tcPr>
          <w:p>
            <w:r>
              <w:rPr>
                <w:rFonts w:ascii="Calibri" w:hAnsi="Calibri"/>
                <w:b/>
                <w:sz w:val="22"/>
              </w:rPr>
              <w:t>Ticker</w:t>
            </w:r>
          </w:p>
        </w:tc>
        <w:tc>
          <w:tcPr>
            <w:tcW w:type="dxa" w:w="4320"/>
          </w:tcPr>
          <w:p>
            <w:r>
              <w:rPr>
                <w:rFonts w:ascii="Calibri" w:hAnsi="Calibri"/>
                <w:sz w:val="22"/>
              </w:rPr>
              <w:t>NYSE: UNP</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Before Market Open (call at 8:45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beatable bar on both EPS and operating ratio, with peer read-throughs from CSX and JBHT confirming the strongest intermodal demand cycle in over a decade; the single biggest swing factor is whether fuel costs (flagged as a Q2 headwind at $4+/gallon in April) compressed margins more than the volume upside can offset.</w:t>
      </w:r>
    </w:p>
    <w:p>
      <w:r>
        <w:rPr>
          <w:rFonts w:ascii="Calibri" w:hAnsi="Calibri"/>
          <w:color w:val="525866"/>
          <w:sz w:val="22"/>
        </w:rPr>
        <w:t xml:space="preserve">Heading into Q2 2026, Union Pacific faces a consensus EPS estimate of ~$3.23 (Visible Alpha) against a backdrop of accelerating intermodal demand, solid bulk volumes, and continued operational records — a setup that looks beatable given the breadth of positive read-throughs from peers. Management affirmed full-year guidance on April 23 (mid-single-digit reported EPS growth, operating ratio improvement vs. 2025's 59.3% adjusted OR), and tone has been constructive: CEO Jim Vena explicitly reaffirmed the long-term high-single to low-double-digit EPS CAGR through 2027 and expressed increased conviction in the Norfolk Southern merger. </w:t>
      </w:r>
      <w:r>
        <w:rPr>
          <w:rFonts w:ascii="Calibri" w:hAnsi="Calibri"/>
          <w:b/>
          <w:color w:val="525866"/>
          <w:sz w:val="22"/>
        </w:rPr>
        <w:t>Estimate revisions have moved modestly higher since the Q1 print</w:t>
      </w:r>
      <w:r>
        <w:rPr>
          <w:rFonts w:ascii="Calibri" w:hAnsi="Calibri"/>
          <w:color w:val="525866"/>
          <w:sz w:val="22"/>
        </w:rPr>
        <w:t xml:space="preserve"> — Q2 consensus EPS rose from ~$3.14 (as of April 28) to ~$3.23 currently — suggesting the Street has already partially credited the positive volume trajectory. The stock has rallied ~17% since the Q1 earnings date (April 22 close of $249.40 to ~$292.56), outperforming both IYT (+10%) and the S&amp;P 500 (+5%), meaning some beat is priced in and the reaction will hinge on operating ratio execution. The key wildcard is </w:t>
      </w:r>
      <w:r>
        <w:rPr>
          <w:rFonts w:ascii="Calibri" w:hAnsi="Calibri"/>
          <w:b/>
          <w:color w:val="525866"/>
          <w:sz w:val="22"/>
        </w:rPr>
        <w:t>fuel cost</w:t>
      </w:r>
      <w:r>
        <w:rPr>
          <w:rFonts w:ascii="Calibri" w:hAnsi="Calibri"/>
          <w:color w:val="525866"/>
          <w:sz w:val="22"/>
        </w:rPr>
        <w:t>: management flagged April diesel at $4+/gallon as a Q2 margin headwind, and if fuel costs came in above the full-year $2.35/gallon original estimate, operating ratio could disappoint even with strong volumes — conversely, any fuel tailwind in May/June would be a positive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moderately high bar on revenue ($6.70B, +9% YoY) but a more achievable bar on operating ratio (59.19% vs. 59.88% in Q1 2026 actual), implying the Street expects sequential margin improvement; </w:t>
      </w:r>
      <w:r>
        <w:rPr>
          <w:rFonts w:ascii="Calibri" w:hAnsi="Calibri"/>
          <w:b/>
          <w:color w:val="525866"/>
          <w:sz w:val="22"/>
        </w:rPr>
        <w:t>operating ratio is the bigger swing factor</w:t>
      </w:r>
      <w:r>
        <w:rPr>
          <w:rFonts w:ascii="Calibri" w:hAnsi="Calibri"/>
          <w:color w:val="525866"/>
          <w:sz w:val="22"/>
        </w:rPr>
        <w:t xml:space="preserve"> given fuel cost uncertainty flagged at Q1 earnings.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Operating Revenue ($B)</w:t>
            </w:r>
          </w:p>
        </w:tc>
        <w:tc>
          <w:tcPr>
            <w:tcW w:type="dxa" w:w="1234"/>
          </w:tcPr>
          <w:p>
            <w:r>
              <w:rPr>
                <w:rFonts w:ascii="Calibri" w:hAnsi="Calibri"/>
                <w:sz w:val="22"/>
              </w:rPr>
              <w:t>$6.217B</w:t>
            </w:r>
          </w:p>
        </w:tc>
        <w:tc>
          <w:tcPr>
            <w:tcW w:type="dxa" w:w="1234"/>
          </w:tcPr>
          <w:p>
            <w:r>
              <w:rPr>
                <w:rFonts w:ascii="Calibri" w:hAnsi="Calibri"/>
                <w:sz w:val="22"/>
              </w:rPr>
              <w:t>$6.154B</w:t>
            </w:r>
          </w:p>
        </w:tc>
        <w:tc>
          <w:tcPr>
            <w:tcW w:type="dxa" w:w="1234"/>
          </w:tcPr>
          <w:p>
            <w:r>
              <w:rPr>
                <w:rFonts w:ascii="Calibri" w:hAnsi="Calibri"/>
                <w:sz w:val="22"/>
              </w:rPr>
              <w:t>$6.701B</w:t>
            </w:r>
          </w:p>
        </w:tc>
        <w:tc>
          <w:tcPr>
            <w:tcW w:type="dxa" w:w="1234"/>
          </w:tcPr>
          <w:p>
            <w:r>
              <w:rPr>
                <w:rFonts w:ascii="Calibri" w:hAnsi="Calibri"/>
                <w:sz w:val="22"/>
              </w:rPr>
              <w:t>+8.9%</w:t>
            </w:r>
          </w:p>
        </w:tc>
        <w:tc>
          <w:tcPr>
            <w:tcW w:type="dxa" w:w="1234"/>
          </w:tcPr>
          <w:p>
            <w:r>
              <w:rPr>
                <w:rFonts w:ascii="Calibri" w:hAnsi="Calibri"/>
                <w:sz w:val="22"/>
              </w:rPr>
              <w:t>Improvement YoY (no $ range given)</w:t>
            </w:r>
          </w:p>
        </w:tc>
        <w:tc>
          <w:tcPr>
            <w:tcW w:type="dxa" w:w="1234"/>
          </w:tcPr>
          <w:p>
            <w:r>
              <w:rPr>
                <w:rFonts w:ascii="Calibri" w:hAnsi="Calibri"/>
                <w:sz w:val="22"/>
              </w:rPr>
              <w:t>N/A — no quarterly $ guidance</w:t>
            </w:r>
          </w:p>
        </w:tc>
      </w:tr>
      <w:tr>
        <w:tc>
          <w:tcPr>
            <w:tcW w:type="dxa" w:w="1234"/>
          </w:tcPr>
          <w:p>
            <w:r>
              <w:rPr>
                <w:rFonts w:ascii="Calibri" w:hAnsi="Calibri"/>
                <w:sz w:val="22"/>
              </w:rPr>
              <w:t>Adj. EPS (Diluted Operating)</w:t>
            </w:r>
          </w:p>
        </w:tc>
        <w:tc>
          <w:tcPr>
            <w:tcW w:type="dxa" w:w="1234"/>
          </w:tcPr>
          <w:p>
            <w:r>
              <w:rPr>
                <w:rFonts w:ascii="Calibri" w:hAnsi="Calibri"/>
                <w:sz w:val="22"/>
              </w:rPr>
              <w:t>$2.93</w:t>
            </w:r>
          </w:p>
        </w:tc>
        <w:tc>
          <w:tcPr>
            <w:tcW w:type="dxa" w:w="1234"/>
          </w:tcPr>
          <w:p>
            <w:r>
              <w:rPr>
                <w:rFonts w:ascii="Calibri" w:hAnsi="Calibri"/>
                <w:sz w:val="22"/>
              </w:rPr>
              <w:t>$3.03</w:t>
            </w:r>
          </w:p>
        </w:tc>
        <w:tc>
          <w:tcPr>
            <w:tcW w:type="dxa" w:w="1234"/>
          </w:tcPr>
          <w:p>
            <w:r>
              <w:rPr>
                <w:rFonts w:ascii="Calibri" w:hAnsi="Calibri"/>
                <w:sz w:val="22"/>
              </w:rPr>
              <w:t>$3.23</w:t>
            </w:r>
          </w:p>
        </w:tc>
        <w:tc>
          <w:tcPr>
            <w:tcW w:type="dxa" w:w="1234"/>
          </w:tcPr>
          <w:p>
            <w:r>
              <w:rPr>
                <w:rFonts w:ascii="Calibri" w:hAnsi="Calibri"/>
                <w:sz w:val="22"/>
              </w:rPr>
              <w:t>+6.6%</w:t>
            </w:r>
          </w:p>
        </w:tc>
        <w:tc>
          <w:tcPr>
            <w:tcW w:type="dxa" w:w="1234"/>
          </w:tcPr>
          <w:p>
            <w:r>
              <w:rPr>
                <w:rFonts w:ascii="Calibri" w:hAnsi="Calibri"/>
                <w:sz w:val="22"/>
              </w:rPr>
              <w:t>Mid-single-digit reported EPS growth (FY)</w:t>
            </w:r>
          </w:p>
        </w:tc>
        <w:tc>
          <w:tcPr>
            <w:tcW w:type="dxa" w:w="1234"/>
          </w:tcPr>
          <w:p>
            <w:r>
              <w:rPr>
                <w:rFonts w:ascii="Calibri" w:hAnsi="Calibri"/>
                <w:sz w:val="22"/>
              </w:rPr>
              <w:t>N/A — no quarterly $ guidance</w:t>
            </w:r>
          </w:p>
        </w:tc>
      </w:tr>
      <w:tr>
        <w:tc>
          <w:tcPr>
            <w:tcW w:type="dxa" w:w="1234"/>
          </w:tcPr>
          <w:p>
            <w:r>
              <w:rPr>
                <w:rFonts w:ascii="Calibri" w:hAnsi="Calibri"/>
                <w:sz w:val="22"/>
              </w:rPr>
              <w:t>Operating Ratio — Adj. (%)</w:t>
            </w:r>
          </w:p>
        </w:tc>
        <w:tc>
          <w:tcPr>
            <w:tcW w:type="dxa" w:w="1234"/>
          </w:tcPr>
          <w:p>
            <w:r>
              <w:rPr>
                <w:rFonts w:ascii="Calibri" w:hAnsi="Calibri"/>
                <w:sz w:val="22"/>
              </w:rPr>
              <w:t>59.88%</w:t>
            </w:r>
          </w:p>
        </w:tc>
        <w:tc>
          <w:tcPr>
            <w:tcW w:type="dxa" w:w="1234"/>
          </w:tcPr>
          <w:p>
            <w:r>
              <w:rPr>
                <w:rFonts w:ascii="Calibri" w:hAnsi="Calibri"/>
                <w:sz w:val="22"/>
              </w:rPr>
              <w:t>58.08%</w:t>
            </w:r>
          </w:p>
        </w:tc>
        <w:tc>
          <w:tcPr>
            <w:tcW w:type="dxa" w:w="1234"/>
          </w:tcPr>
          <w:p>
            <w:r>
              <w:rPr>
                <w:rFonts w:ascii="Calibri" w:hAnsi="Calibri"/>
                <w:sz w:val="22"/>
              </w:rPr>
              <w:t>59.19%</w:t>
            </w:r>
          </w:p>
        </w:tc>
        <w:tc>
          <w:tcPr>
            <w:tcW w:type="dxa" w:w="1234"/>
          </w:tcPr>
          <w:p>
            <w:r>
              <w:rPr>
                <w:rFonts w:ascii="Calibri" w:hAnsi="Calibri"/>
                <w:sz w:val="22"/>
              </w:rPr>
              <w:t>+111 bps YoY</w:t>
            </w:r>
          </w:p>
        </w:tc>
        <w:tc>
          <w:tcPr>
            <w:tcW w:type="dxa" w:w="1234"/>
          </w:tcPr>
          <w:p>
            <w:r>
              <w:rPr>
                <w:rFonts w:ascii="Calibri" w:hAnsi="Calibri"/>
                <w:sz w:val="22"/>
              </w:rPr>
              <w:t>Improvement vs. 2025 adj. OR of 59.3%</w:t>
            </w:r>
          </w:p>
        </w:tc>
        <w:tc>
          <w:tcPr>
            <w:tcW w:type="dxa" w:w="1234"/>
          </w:tcPr>
          <w:p>
            <w:r>
              <w:rPr>
                <w:rFonts w:ascii="Calibri" w:hAnsi="Calibri"/>
                <w:sz w:val="22"/>
              </w:rPr>
              <w:t>Consensus implies ~14 bps better than FY guidance midpoint</w:t>
            </w:r>
          </w:p>
        </w:tc>
      </w:tr>
      <w:tr>
        <w:tc>
          <w:tcPr>
            <w:tcW w:type="dxa" w:w="1234"/>
          </w:tcPr>
          <w:p>
            <w:r>
              <w:rPr>
                <w:rFonts w:ascii="Calibri" w:hAnsi="Calibri"/>
                <w:sz w:val="22"/>
              </w:rPr>
              <w:t>Freight Revenue ($B)</w:t>
            </w:r>
          </w:p>
        </w:tc>
        <w:tc>
          <w:tcPr>
            <w:tcW w:type="dxa" w:w="1234"/>
          </w:tcPr>
          <w:p>
            <w:r>
              <w:rPr>
                <w:rFonts w:ascii="Calibri" w:hAnsi="Calibri"/>
                <w:sz w:val="22"/>
              </w:rPr>
              <w:t>$5.893B</w:t>
            </w:r>
          </w:p>
        </w:tc>
        <w:tc>
          <w:tcPr>
            <w:tcW w:type="dxa" w:w="1234"/>
          </w:tcPr>
          <w:p>
            <w:r>
              <w:rPr>
                <w:rFonts w:ascii="Calibri" w:hAnsi="Calibri"/>
                <w:sz w:val="22"/>
              </w:rPr>
              <w:t>$5.843B</w:t>
            </w:r>
          </w:p>
        </w:tc>
        <w:tc>
          <w:tcPr>
            <w:tcW w:type="dxa" w:w="1234"/>
          </w:tcPr>
          <w:p>
            <w:r>
              <w:rPr>
                <w:rFonts w:ascii="Calibri" w:hAnsi="Calibri"/>
                <w:sz w:val="22"/>
              </w:rPr>
              <w:t>$6.378B</w:t>
            </w:r>
          </w:p>
        </w:tc>
        <w:tc>
          <w:tcPr>
            <w:tcW w:type="dxa" w:w="1234"/>
          </w:tcPr>
          <w:p>
            <w:r>
              <w:rPr>
                <w:rFonts w:ascii="Calibri" w:hAnsi="Calibri"/>
                <w:sz w:val="22"/>
              </w:rPr>
              <w:t>+9.1%</w:t>
            </w:r>
          </w:p>
        </w:tc>
        <w:tc>
          <w:tcPr>
            <w:tcW w:type="dxa" w:w="1234"/>
          </w:tcPr>
          <w:p>
            <w:r>
              <w:rPr>
                <w:rFonts w:ascii="Calibri" w:hAnsi="Calibri"/>
                <w:sz w:val="22"/>
              </w:rPr>
              <w:t>N/A — no segment guidance</w:t>
            </w:r>
          </w:p>
        </w:tc>
        <w:tc>
          <w:tcPr>
            <w:tcW w:type="dxa" w:w="1234"/>
          </w:tcPr>
          <w:p>
            <w:r>
              <w:rPr>
                <w:rFonts w:ascii="Calibri" w:hAnsi="Calibri"/>
                <w:sz w:val="22"/>
              </w:rPr>
              <w:t>N/A</w:t>
            </w:r>
          </w:p>
        </w:tc>
      </w:tr>
      <w:tr>
        <w:tc>
          <w:tcPr>
            <w:tcW w:type="dxa" w:w="1234"/>
          </w:tcPr>
          <w:p>
            <w:r>
              <w:rPr>
                <w:rFonts w:ascii="Calibri" w:hAnsi="Calibri"/>
                <w:sz w:val="22"/>
              </w:rPr>
              <w:t>Total Carloads (K units)</w:t>
            </w:r>
          </w:p>
        </w:tc>
        <w:tc>
          <w:tcPr>
            <w:tcW w:type="dxa" w:w="1234"/>
          </w:tcPr>
          <w:p>
            <w:r>
              <w:rPr>
                <w:rFonts w:ascii="Calibri" w:hAnsi="Calibri"/>
                <w:sz w:val="22"/>
              </w:rPr>
              <w:t>2,083K</w:t>
            </w:r>
          </w:p>
        </w:tc>
        <w:tc>
          <w:tcPr>
            <w:tcW w:type="dxa" w:w="1234"/>
          </w:tcPr>
          <w:p>
            <w:r>
              <w:rPr>
                <w:rFonts w:ascii="Calibri" w:hAnsi="Calibri"/>
                <w:sz w:val="22"/>
              </w:rPr>
              <w:t>2,114K</w:t>
            </w:r>
          </w:p>
        </w:tc>
        <w:tc>
          <w:tcPr>
            <w:tcW w:type="dxa" w:w="1234"/>
          </w:tcPr>
          <w:p>
            <w:r>
              <w:rPr>
                <w:rFonts w:ascii="Calibri" w:hAnsi="Calibri"/>
                <w:sz w:val="22"/>
              </w:rPr>
              <w:t>2,166K</w:t>
            </w:r>
          </w:p>
        </w:tc>
        <w:tc>
          <w:tcPr>
            <w:tcW w:type="dxa" w:w="1234"/>
          </w:tcPr>
          <w:p>
            <w:r>
              <w:rPr>
                <w:rFonts w:ascii="Calibri" w:hAnsi="Calibri"/>
                <w:sz w:val="22"/>
              </w:rPr>
              <w:t>+2.5%</w:t>
            </w:r>
          </w:p>
        </w:tc>
        <w:tc>
          <w:tcPr>
            <w:tcW w:type="dxa" w:w="1234"/>
          </w:tcPr>
          <w:p>
            <w:r>
              <w:rPr>
                <w:rFonts w:ascii="Calibri" w:hAnsi="Calibri"/>
                <w:sz w:val="22"/>
              </w:rPr>
              <w:t>N/A — no volume guidance</w:t>
            </w:r>
          </w:p>
        </w:tc>
        <w:tc>
          <w:tcPr>
            <w:tcW w:type="dxa" w:w="1234"/>
          </w:tcPr>
          <w:p>
            <w:r>
              <w:rPr>
                <w:rFonts w:ascii="Calibri" w:hAnsi="Calibri"/>
                <w:sz w:val="22"/>
              </w:rPr>
              <w:t>N/A</w:t>
            </w:r>
          </w:p>
        </w:tc>
      </w:tr>
      <w:tr>
        <w:tc>
          <w:tcPr>
            <w:tcW w:type="dxa" w:w="1234"/>
          </w:tcPr>
          <w:p>
            <w:r>
              <w:rPr>
                <w:rFonts w:ascii="Calibri" w:hAnsi="Calibri"/>
                <w:sz w:val="22"/>
              </w:rPr>
              <w:t>Fuel Expense ($M)</w:t>
            </w:r>
          </w:p>
        </w:tc>
        <w:tc>
          <w:tcPr>
            <w:tcW w:type="dxa" w:w="1234"/>
          </w:tcPr>
          <w:p>
            <w:r>
              <w:rPr>
                <w:rFonts w:ascii="Calibri" w:hAnsi="Calibri"/>
                <w:sz w:val="22"/>
              </w:rPr>
              <w:t>$643M</w:t>
            </w:r>
          </w:p>
        </w:tc>
        <w:tc>
          <w:tcPr>
            <w:tcW w:type="dxa" w:w="1234"/>
          </w:tcPr>
          <w:p>
            <w:r>
              <w:rPr>
                <w:rFonts w:ascii="Calibri" w:hAnsi="Calibri"/>
                <w:sz w:val="22"/>
              </w:rPr>
              <w:t>$576M</w:t>
            </w:r>
          </w:p>
        </w:tc>
        <w:tc>
          <w:tcPr>
            <w:tcW w:type="dxa" w:w="1234"/>
          </w:tcPr>
          <w:p>
            <w:r>
              <w:rPr>
                <w:rFonts w:ascii="Calibri" w:hAnsi="Calibri"/>
                <w:sz w:val="22"/>
              </w:rPr>
              <w:t>$903M</w:t>
            </w:r>
          </w:p>
        </w:tc>
        <w:tc>
          <w:tcPr>
            <w:tcW w:type="dxa" w:w="1234"/>
          </w:tcPr>
          <w:p>
            <w:r>
              <w:rPr>
                <w:rFonts w:ascii="Calibri" w:hAnsi="Calibri"/>
                <w:sz w:val="22"/>
              </w:rPr>
              <w:t>+56.8%</w:t>
            </w:r>
          </w:p>
        </w:tc>
        <w:tc>
          <w:tcPr>
            <w:tcW w:type="dxa" w:w="1234"/>
          </w:tcPr>
          <w:p>
            <w:r>
              <w:rPr>
                <w:rFonts w:ascii="Calibri" w:hAnsi="Calibri"/>
                <w:sz w:val="22"/>
              </w:rPr>
              <w:t>Original est. $2.35/gal (now uncertain)</w:t>
            </w:r>
          </w:p>
        </w:tc>
        <w:tc>
          <w:tcPr>
            <w:tcW w:type="dxa" w:w="1234"/>
          </w:tcPr>
          <w:p>
            <w:r>
              <w:rPr>
                <w:rFonts w:ascii="Calibri" w:hAnsi="Calibri"/>
                <w:sz w:val="22"/>
              </w:rPr>
              <w:t>Consensus well above original guidance — fuel headwind priced in</w:t>
            </w:r>
          </w:p>
        </w:tc>
      </w:tr>
      <w:tr>
        <w:tc>
          <w:tcPr>
            <w:tcW w:type="dxa" w:w="1234"/>
          </w:tcPr>
          <w:p>
            <w:r>
              <w:rPr>
                <w:rFonts w:ascii="Calibri" w:hAnsi="Calibri"/>
                <w:sz w:val="22"/>
              </w:rPr>
              <w:t>Compensation &amp; Benefits ($B)</w:t>
            </w:r>
          </w:p>
        </w:tc>
        <w:tc>
          <w:tcPr>
            <w:tcW w:type="dxa" w:w="1234"/>
          </w:tcPr>
          <w:p>
            <w:r>
              <w:rPr>
                <w:rFonts w:ascii="Calibri" w:hAnsi="Calibri"/>
                <w:sz w:val="22"/>
              </w:rPr>
              <w:t>$1.227B</w:t>
            </w:r>
          </w:p>
        </w:tc>
        <w:tc>
          <w:tcPr>
            <w:tcW w:type="dxa" w:w="1234"/>
          </w:tcPr>
          <w:p>
            <w:r>
              <w:rPr>
                <w:rFonts w:ascii="Calibri" w:hAnsi="Calibri"/>
                <w:sz w:val="22"/>
              </w:rPr>
              <w:t>$1.194B</w:t>
            </w:r>
          </w:p>
        </w:tc>
        <w:tc>
          <w:tcPr>
            <w:tcW w:type="dxa" w:w="1234"/>
          </w:tcPr>
          <w:p>
            <w:r>
              <w:rPr>
                <w:rFonts w:ascii="Calibri" w:hAnsi="Calibri"/>
                <w:sz w:val="22"/>
              </w:rPr>
              <w:t>$1.209B</w:t>
            </w:r>
          </w:p>
        </w:tc>
        <w:tc>
          <w:tcPr>
            <w:tcW w:type="dxa" w:w="1234"/>
          </w:tcPr>
          <w:p>
            <w:r>
              <w:rPr>
                <w:rFonts w:ascii="Calibri" w:hAnsi="Calibri"/>
                <w:sz w:val="22"/>
              </w:rPr>
              <w:t>+1.3%</w:t>
            </w:r>
          </w:p>
        </w:tc>
        <w:tc>
          <w:tcPr>
            <w:tcW w:type="dxa" w:w="1234"/>
          </w:tcPr>
          <w:p>
            <w:r>
              <w:rPr>
                <w:rFonts w:ascii="Calibri" w:hAnsi="Calibri"/>
                <w:sz w:val="22"/>
              </w:rPr>
              <w:t>Comp/employee +4–5% FY</w:t>
            </w:r>
          </w:p>
        </w:tc>
        <w:tc>
          <w:tcPr>
            <w:tcW w:type="dxa" w:w="1234"/>
          </w:tcPr>
          <w:p>
            <w:r>
              <w:rPr>
                <w:rFonts w:ascii="Calibri" w:hAnsi="Calibri"/>
                <w:sz w:val="22"/>
              </w:rPr>
              <w:t>Consensus implies continued productivity offset</w:t>
            </w:r>
          </w:p>
        </w:tc>
      </w:tr>
      <w:tr>
        <w:tc>
          <w:tcPr>
            <w:tcW w:type="dxa" w:w="1234"/>
          </w:tcPr>
          <w:p>
            <w:r>
              <w:rPr>
                <w:rFonts w:ascii="Calibri" w:hAnsi="Calibri"/>
                <w:sz w:val="22"/>
              </w:rPr>
              <w:t>Capital Investments ($M)</w:t>
            </w:r>
          </w:p>
        </w:tc>
        <w:tc>
          <w:tcPr>
            <w:tcW w:type="dxa" w:w="1234"/>
          </w:tcPr>
          <w:p>
            <w:r>
              <w:rPr>
                <w:rFonts w:ascii="Calibri" w:hAnsi="Calibri"/>
                <w:sz w:val="22"/>
              </w:rPr>
              <w:t>$937M</w:t>
            </w:r>
          </w:p>
        </w:tc>
        <w:tc>
          <w:tcPr>
            <w:tcW w:type="dxa" w:w="1234"/>
          </w:tcPr>
          <w:p>
            <w:r>
              <w:rPr>
                <w:rFonts w:ascii="Calibri" w:hAnsi="Calibri"/>
                <w:sz w:val="22"/>
              </w:rPr>
              <w:t>$936M</w:t>
            </w:r>
          </w:p>
        </w:tc>
        <w:tc>
          <w:tcPr>
            <w:tcW w:type="dxa" w:w="1234"/>
          </w:tcPr>
          <w:p>
            <w:r>
              <w:rPr>
                <w:rFonts w:ascii="Calibri" w:hAnsi="Calibri"/>
                <w:sz w:val="22"/>
              </w:rPr>
              <w:t>$819M</w:t>
            </w:r>
          </w:p>
        </w:tc>
        <w:tc>
          <w:tcPr>
            <w:tcW w:type="dxa" w:w="1234"/>
          </w:tcPr>
          <w:p>
            <w:r>
              <w:rPr>
                <w:rFonts w:ascii="Calibri" w:hAnsi="Calibri"/>
                <w:sz w:val="22"/>
              </w:rPr>
              <w:t>-12.5%</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$631M</w:t>
            </w:r>
          </w:p>
        </w:tc>
        <w:tc>
          <w:tcPr>
            <w:tcW w:type="dxa" w:w="1234"/>
          </w:tcPr>
          <w:p>
            <w:r>
              <w:rPr>
                <w:rFonts w:ascii="Calibri" w:hAnsi="Calibri"/>
                <w:sz w:val="22"/>
              </w:rPr>
              <w:t>$637M</w:t>
            </w:r>
          </w:p>
        </w:tc>
        <w:tc>
          <w:tcPr>
            <w:tcW w:type="dxa" w:w="1234"/>
          </w:tcPr>
          <w:p>
            <w:r>
              <w:rPr>
                <w:rFonts w:ascii="Calibri" w:hAnsi="Calibri"/>
                <w:sz w:val="22"/>
              </w:rPr>
              <w:t>$1,001M</w:t>
            </w:r>
          </w:p>
        </w:tc>
        <w:tc>
          <w:tcPr>
            <w:tcW w:type="dxa" w:w="1234"/>
          </w:tcPr>
          <w:p>
            <w:r>
              <w:rPr>
                <w:rFonts w:ascii="Calibri" w:hAnsi="Calibri"/>
                <w:sz w:val="22"/>
              </w:rPr>
              <w:t>+57.1%</w:t>
            </w:r>
          </w:p>
        </w:tc>
        <w:tc>
          <w:tcPr>
            <w:tcW w:type="dxa" w:w="1234"/>
          </w:tcPr>
          <w:p>
            <w:r>
              <w:rPr>
                <w:rFonts w:ascii="Calibri" w:hAnsi="Calibri"/>
                <w:sz w:val="22"/>
              </w:rPr>
              <w:t>N/A — no quarterly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 Actuals from Q1 2026 and Q2 2025 reported periods. Note: The Q2 2026 fuel expense consensus of $903M reflects the Street pricing in the $4+/gallon April diesel headwind flagged by management at Q1 earnings; this is the single largest YoY cost swing in the quarter.</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$2.93</w:t>
            </w:r>
          </w:p>
        </w:tc>
        <w:tc>
          <w:tcPr>
            <w:tcW w:type="dxa" w:w="1440"/>
          </w:tcPr>
          <w:p>
            <w:r>
              <w:rPr>
                <w:rFonts w:ascii="Calibri" w:hAnsi="Calibri"/>
                <w:sz w:val="22"/>
              </w:rPr>
              <w:t>$2.86</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OR (%)</w:t>
            </w:r>
          </w:p>
        </w:tc>
        <w:tc>
          <w:tcPr>
            <w:tcW w:type="dxa" w:w="1440"/>
          </w:tcPr>
          <w:p>
            <w:r>
              <w:rPr>
                <w:rFonts w:ascii="Calibri" w:hAnsi="Calibri"/>
                <w:sz w:val="22"/>
              </w:rPr>
              <w:t>59.88%</w:t>
            </w:r>
          </w:p>
        </w:tc>
        <w:tc>
          <w:tcPr>
            <w:tcW w:type="dxa" w:w="1440"/>
          </w:tcPr>
          <w:p>
            <w:r>
              <w:rPr>
                <w:rFonts w:ascii="Calibri" w:hAnsi="Calibri"/>
                <w:sz w:val="22"/>
              </w:rPr>
              <w:t>60.45%</w:t>
            </w:r>
          </w:p>
        </w:tc>
        <w:tc>
          <w:tcPr>
            <w:tcW w:type="dxa" w:w="1440"/>
          </w:tcPr>
          <w:p>
            <w:r>
              <w:rPr>
                <w:rFonts w:ascii="Calibri" w:hAnsi="Calibri"/>
                <w:b/>
                <w:color w:val="30A46C"/>
                <w:sz w:val="22"/>
              </w:rPr>
              <w:t>+57 bps better</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$2.86</w:t>
            </w:r>
          </w:p>
        </w:tc>
        <w:tc>
          <w:tcPr>
            <w:tcW w:type="dxa" w:w="1440"/>
          </w:tcPr>
          <w:p>
            <w:r>
              <w:rPr>
                <w:rFonts w:ascii="Calibri" w:hAnsi="Calibri"/>
                <w:sz w:val="22"/>
              </w:rPr>
              <w:t>$2.87</w:t>
            </w:r>
          </w:p>
        </w:tc>
        <w:tc>
          <w:tcPr>
            <w:tcW w:type="dxa" w:w="1440"/>
          </w:tcPr>
          <w:p>
            <w:r>
              <w:rPr>
                <w:rFonts w:ascii="Calibri" w:hAnsi="Calibri"/>
                <w:b/>
                <w:color w:val="E5484D"/>
                <w:sz w:val="22"/>
              </w:rPr>
              <w:t>-0.3%</w:t>
            </w:r>
          </w:p>
        </w:tc>
        <w:tc>
          <w:tcPr>
            <w:tcW w:type="dxa" w:w="1440"/>
          </w:tcPr>
          <w:p>
            <w:r>
              <w:rPr>
                <w:rFonts w:ascii="Calibri" w:hAnsi="Calibri"/>
                <w:sz w:val="22"/>
              </w:rPr>
              <w:t>Slight Miss</w:t>
            </w:r>
          </w:p>
        </w:tc>
      </w:tr>
      <w:tr>
        <w:tc>
          <w:tcPr>
            <w:tcW w:type="dxa" w:w="1440"/>
          </w:tcPr>
          <w:p>
            <w:r>
              <w:rPr>
                <w:rFonts w:ascii="Calibri" w:hAnsi="Calibri"/>
                <w:sz w:val="22"/>
              </w:rPr>
              <w:t>Q4 2025</w:t>
            </w:r>
          </w:p>
        </w:tc>
        <w:tc>
          <w:tcPr>
            <w:tcW w:type="dxa" w:w="1440"/>
          </w:tcPr>
          <w:p>
            <w:r>
              <w:rPr>
                <w:rFonts w:ascii="Calibri" w:hAnsi="Calibri"/>
                <w:sz w:val="22"/>
              </w:rPr>
              <w:t>Adj. OR (%)</w:t>
            </w:r>
          </w:p>
        </w:tc>
        <w:tc>
          <w:tcPr>
            <w:tcW w:type="dxa" w:w="1440"/>
          </w:tcPr>
          <w:p>
            <w:r>
              <w:rPr>
                <w:rFonts w:ascii="Calibri" w:hAnsi="Calibri"/>
                <w:sz w:val="22"/>
              </w:rPr>
              <w:t>60.05%</w:t>
            </w:r>
          </w:p>
        </w:tc>
        <w:tc>
          <w:tcPr>
            <w:tcW w:type="dxa" w:w="1440"/>
          </w:tcPr>
          <w:p>
            <w:r>
              <w:rPr>
                <w:rFonts w:ascii="Calibri" w:hAnsi="Calibri"/>
                <w:sz w:val="22"/>
              </w:rPr>
              <w:t>59.66%</w:t>
            </w:r>
          </w:p>
        </w:tc>
        <w:tc>
          <w:tcPr>
            <w:tcW w:type="dxa" w:w="1440"/>
          </w:tcPr>
          <w:p>
            <w:r>
              <w:rPr>
                <w:rFonts w:ascii="Calibri" w:hAnsi="Calibri"/>
                <w:b/>
                <w:color w:val="E5484D"/>
                <w:sz w:val="22"/>
              </w:rPr>
              <w:t>-39 bps worse</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$3.08</w:t>
            </w:r>
          </w:p>
        </w:tc>
        <w:tc>
          <w:tcPr>
            <w:tcW w:type="dxa" w:w="1440"/>
          </w:tcPr>
          <w:p>
            <w:r>
              <w:rPr>
                <w:rFonts w:ascii="Calibri" w:hAnsi="Calibri"/>
                <w:sz w:val="22"/>
              </w:rPr>
              <w:t>$3.00</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OR (%)</w:t>
            </w:r>
          </w:p>
        </w:tc>
        <w:tc>
          <w:tcPr>
            <w:tcW w:type="dxa" w:w="1440"/>
          </w:tcPr>
          <w:p>
            <w:r>
              <w:rPr>
                <w:rFonts w:ascii="Calibri" w:hAnsi="Calibri"/>
                <w:sz w:val="22"/>
              </w:rPr>
              <w:t>58.52%</w:t>
            </w:r>
          </w:p>
        </w:tc>
        <w:tc>
          <w:tcPr>
            <w:tcW w:type="dxa" w:w="1440"/>
          </w:tcPr>
          <w:p>
            <w:r>
              <w:rPr>
                <w:rFonts w:ascii="Calibri" w:hAnsi="Calibri"/>
                <w:sz w:val="22"/>
              </w:rPr>
              <w:t>58.56%</w:t>
            </w:r>
          </w:p>
        </w:tc>
        <w:tc>
          <w:tcPr>
            <w:tcW w:type="dxa" w:w="1440"/>
          </w:tcPr>
          <w:p>
            <w:r>
              <w:rPr>
                <w:rFonts w:ascii="Calibri" w:hAnsi="Calibri"/>
                <w:b/>
                <w:color w:val="30A46C"/>
                <w:sz w:val="22"/>
              </w:rPr>
              <w:t>+4 bps better</w:t>
            </w:r>
          </w:p>
        </w:tc>
        <w:tc>
          <w:tcPr>
            <w:tcW w:type="dxa" w:w="1440"/>
          </w:tcPr>
          <w:p>
            <w:r>
              <w:rPr>
                <w:rFonts w:ascii="Calibri" w:hAnsi="Calibri"/>
                <w:sz w:val="22"/>
              </w:rPr>
              <w:t>Slight 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$3.03</w:t>
            </w:r>
          </w:p>
        </w:tc>
        <w:tc>
          <w:tcPr>
            <w:tcW w:type="dxa" w:w="1440"/>
          </w:tcPr>
          <w:p>
            <w:r>
              <w:rPr>
                <w:rFonts w:ascii="Calibri" w:hAnsi="Calibri"/>
                <w:sz w:val="22"/>
              </w:rPr>
              <w:t>$2.93</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OR (%)</w:t>
            </w:r>
          </w:p>
        </w:tc>
        <w:tc>
          <w:tcPr>
            <w:tcW w:type="dxa" w:w="1440"/>
          </w:tcPr>
          <w:p>
            <w:r>
              <w:rPr>
                <w:rFonts w:ascii="Calibri" w:hAnsi="Calibri"/>
                <w:sz w:val="22"/>
              </w:rPr>
              <w:t>58.08%</w:t>
            </w:r>
          </w:p>
        </w:tc>
        <w:tc>
          <w:tcPr>
            <w:tcW w:type="dxa" w:w="1440"/>
          </w:tcPr>
          <w:p>
            <w:r>
              <w:rPr>
                <w:rFonts w:ascii="Calibri" w:hAnsi="Calibri"/>
                <w:sz w:val="22"/>
              </w:rPr>
              <w:t>58.85%</w:t>
            </w:r>
          </w:p>
        </w:tc>
        <w:tc>
          <w:tcPr>
            <w:tcW w:type="dxa" w:w="1440"/>
          </w:tcPr>
          <w:p>
            <w:r>
              <w:rPr>
                <w:rFonts w:ascii="Calibri" w:hAnsi="Calibri"/>
                <w:b/>
                <w:color w:val="30A46C"/>
                <w:sz w:val="22"/>
              </w:rPr>
              <w:t>+77 bps better</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$2.70</w:t>
            </w:r>
          </w:p>
        </w:tc>
        <w:tc>
          <w:tcPr>
            <w:tcW w:type="dxa" w:w="1440"/>
          </w:tcPr>
          <w:p>
            <w:r>
              <w:rPr>
                <w:rFonts w:ascii="Calibri" w:hAnsi="Calibri"/>
                <w:sz w:val="22"/>
              </w:rPr>
              <w:t>$2.75</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OR (%)</w:t>
            </w:r>
          </w:p>
        </w:tc>
        <w:tc>
          <w:tcPr>
            <w:tcW w:type="dxa" w:w="1440"/>
          </w:tcPr>
          <w:p>
            <w:r>
              <w:rPr>
                <w:rFonts w:ascii="Calibri" w:hAnsi="Calibri"/>
                <w:sz w:val="22"/>
              </w:rPr>
              <w:t>60.66%</w:t>
            </w:r>
          </w:p>
        </w:tc>
        <w:tc>
          <w:tcPr>
            <w:tcW w:type="dxa" w:w="1440"/>
          </w:tcPr>
          <w:p>
            <w:r>
              <w:rPr>
                <w:rFonts w:ascii="Calibri" w:hAnsi="Calibri"/>
                <w:sz w:val="22"/>
              </w:rPr>
              <w:t>60.38%</w:t>
            </w:r>
          </w:p>
        </w:tc>
        <w:tc>
          <w:tcPr>
            <w:tcW w:type="dxa" w:w="1440"/>
          </w:tcPr>
          <w:p>
            <w:r>
              <w:rPr>
                <w:rFonts w:ascii="Calibri" w:hAnsi="Calibri"/>
                <w:b/>
                <w:color w:val="E5484D"/>
                <w:sz w:val="22"/>
              </w:rPr>
              <w:t>-28 bps worse</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$2.96</w:t>
            </w:r>
          </w:p>
        </w:tc>
        <w:tc>
          <w:tcPr>
            <w:tcW w:type="dxa" w:w="1440"/>
          </w:tcPr>
          <w:p>
            <w:r>
              <w:rPr>
                <w:rFonts w:ascii="Calibri" w:hAnsi="Calibri"/>
                <w:sz w:val="22"/>
              </w:rPr>
              <w:t>$2.79</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OR (%)</w:t>
            </w:r>
          </w:p>
        </w:tc>
        <w:tc>
          <w:tcPr>
            <w:tcW w:type="dxa" w:w="1440"/>
          </w:tcPr>
          <w:p>
            <w:r>
              <w:rPr>
                <w:rFonts w:ascii="Calibri" w:hAnsi="Calibri"/>
                <w:sz w:val="22"/>
              </w:rPr>
              <w:t>58.10%</w:t>
            </w:r>
          </w:p>
        </w:tc>
        <w:tc>
          <w:tcPr>
            <w:tcW w:type="dxa" w:w="1440"/>
          </w:tcPr>
          <w:p>
            <w:r>
              <w:rPr>
                <w:rFonts w:ascii="Calibri" w:hAnsi="Calibri"/>
                <w:sz w:val="22"/>
              </w:rPr>
              <w:t>60.21%</w:t>
            </w:r>
          </w:p>
        </w:tc>
        <w:tc>
          <w:tcPr>
            <w:tcW w:type="dxa" w:w="1440"/>
          </w:tcPr>
          <w:p>
            <w:r>
              <w:rPr>
                <w:rFonts w:ascii="Calibri" w:hAnsi="Calibri"/>
                <w:b/>
                <w:color w:val="30A46C"/>
                <w:sz w:val="22"/>
              </w:rPr>
              <w:t>+211 bps better</w:t>
            </w:r>
          </w:p>
        </w:tc>
        <w:tc>
          <w:tcPr>
            <w:tcW w:type="dxa" w:w="1440"/>
          </w:tcPr>
          <w:p>
            <w:r>
              <w:rPr>
                <w:rFonts w:ascii="Calibri" w:hAnsi="Calibri"/>
                <w:sz w:val="22"/>
              </w:rPr>
              <w:t>Strong 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$2.75</w:t>
            </w:r>
          </w:p>
        </w:tc>
        <w:tc>
          <w:tcPr>
            <w:tcW w:type="dxa" w:w="1440"/>
          </w:tcPr>
          <w:p>
            <w:r>
              <w:rPr>
                <w:rFonts w:ascii="Calibri" w:hAnsi="Calibri"/>
                <w:sz w:val="22"/>
              </w:rPr>
              <w:t>$2.80</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OR (%)</w:t>
            </w:r>
          </w:p>
        </w:tc>
        <w:tc>
          <w:tcPr>
            <w:tcW w:type="dxa" w:w="1440"/>
          </w:tcPr>
          <w:p>
            <w:r>
              <w:rPr>
                <w:rFonts w:ascii="Calibri" w:hAnsi="Calibri"/>
                <w:sz w:val="22"/>
              </w:rPr>
              <w:t>60.33%</w:t>
            </w:r>
          </w:p>
        </w:tc>
        <w:tc>
          <w:tcPr>
            <w:tcW w:type="dxa" w:w="1440"/>
          </w:tcPr>
          <w:p>
            <w:r>
              <w:rPr>
                <w:rFonts w:ascii="Calibri" w:hAnsi="Calibri"/>
                <w:sz w:val="22"/>
              </w:rPr>
              <w:t>60.01%</w:t>
            </w:r>
          </w:p>
        </w:tc>
        <w:tc>
          <w:tcPr>
            <w:tcW w:type="dxa" w:w="1440"/>
          </w:tcPr>
          <w:p>
            <w:r>
              <w:rPr>
                <w:rFonts w:ascii="Calibri" w:hAnsi="Calibri"/>
                <w:b/>
                <w:color w:val="E5484D"/>
                <w:sz w:val="22"/>
              </w:rPr>
              <w:t>-32 bps worse</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$2.73</w:t>
            </w:r>
          </w:p>
        </w:tc>
        <w:tc>
          <w:tcPr>
            <w:tcW w:type="dxa" w:w="1440"/>
          </w:tcPr>
          <w:p>
            <w:r>
              <w:rPr>
                <w:rFonts w:ascii="Calibri" w:hAnsi="Calibri"/>
                <w:b/>
                <w:color w:val="E5484D"/>
                <w:sz w:val="22"/>
              </w:rPr>
              <w:t>-0.7%</w:t>
            </w:r>
          </w:p>
        </w:tc>
        <w:tc>
          <w:tcPr>
            <w:tcW w:type="dxa" w:w="1440"/>
          </w:tcPr>
          <w:p>
            <w:r>
              <w:rPr>
                <w:rFonts w:ascii="Calibri" w:hAnsi="Calibri"/>
                <w:sz w:val="22"/>
              </w:rPr>
              <w:t>Slight Miss</w:t>
            </w:r>
          </w:p>
        </w:tc>
      </w:tr>
      <w:tr>
        <w:tc>
          <w:tcPr>
            <w:tcW w:type="dxa" w:w="1440"/>
          </w:tcPr>
          <w:p>
            <w:r>
              <w:rPr>
                <w:rFonts w:ascii="Calibri" w:hAnsi="Calibri"/>
                <w:sz w:val="22"/>
              </w:rPr>
              <w:t>Q2 2024</w:t>
            </w:r>
          </w:p>
        </w:tc>
        <w:tc>
          <w:tcPr>
            <w:tcW w:type="dxa" w:w="1440"/>
          </w:tcPr>
          <w:p>
            <w:r>
              <w:rPr>
                <w:rFonts w:ascii="Calibri" w:hAnsi="Calibri"/>
                <w:sz w:val="22"/>
              </w:rPr>
              <w:t>Adj. OR (%)</w:t>
            </w:r>
          </w:p>
        </w:tc>
        <w:tc>
          <w:tcPr>
            <w:tcW w:type="dxa" w:w="1440"/>
          </w:tcPr>
          <w:p>
            <w:r>
              <w:rPr>
                <w:rFonts w:ascii="Calibri" w:hAnsi="Calibri"/>
                <w:sz w:val="22"/>
              </w:rPr>
              <w:t>60.43%</w:t>
            </w:r>
          </w:p>
        </w:tc>
        <w:tc>
          <w:tcPr>
            <w:tcW w:type="dxa" w:w="1440"/>
          </w:tcPr>
          <w:p>
            <w:r>
              <w:rPr>
                <w:rFonts w:ascii="Calibri" w:hAnsi="Calibri"/>
                <w:sz w:val="22"/>
              </w:rPr>
              <w:t>60.37%</w:t>
            </w:r>
          </w:p>
        </w:tc>
        <w:tc>
          <w:tcPr>
            <w:tcW w:type="dxa" w:w="1440"/>
          </w:tcPr>
          <w:p>
            <w:r>
              <w:rPr>
                <w:rFonts w:ascii="Calibri" w:hAnsi="Calibri"/>
                <w:b/>
                <w:color w:val="E5484D"/>
                <w:sz w:val="22"/>
              </w:rPr>
              <w:t>-6 bps worse</w:t>
            </w:r>
          </w:p>
        </w:tc>
        <w:tc>
          <w:tcPr>
            <w:tcW w:type="dxa" w:w="1440"/>
          </w:tcPr>
          <w:p>
            <w:r>
              <w:rPr>
                <w:rFonts w:ascii="Calibri" w:hAnsi="Calibri"/>
                <w:sz w:val="22"/>
              </w:rPr>
              <w:t>Slight Miss</w:t>
            </w:r>
          </w:p>
        </w:tc>
      </w:tr>
    </w:tbl>
    <w:p>
      <w:r>
        <w:rPr>
          <w:rFonts w:ascii="Calibri" w:hAnsi="Calibri"/>
          <w:i/>
          <w:color w:val="525866"/>
          <w:sz w:val="22"/>
        </w:rPr>
        <w:t xml:space="preserve">Source: Visible Alpha Consensus and Actuals Data. </w:t>
      </w:r>
      <w:r>
        <w:rPr>
          <w:rFonts w:ascii="Calibri" w:hAnsi="Calibri"/>
          <w:color w:val="525866"/>
          <w:sz w:val="22"/>
        </w:rPr>
        <w:t>Pattern: UNP has beaten adj. EPS in 5 of the last 8 quarters, with the largest beats coming in Q4 2024 (+6.1%) and Q3 2025 (+2.7%); operating ratio beats have been more consistent when volumes are strong, but Q4 2025 and Q1 2025 showed misses when macro softness weighed on mix. The Q1 2026 beat on both metrics is the most recent data point and sets a positive tone heading into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is unchanged since the April 23 Q1 earnings call — mid-single-digit reported EPS growth and operating ratio improvement vs. 2025 — but management tone has shifted </w:t>
      </w:r>
      <w:r>
        <w:rPr>
          <w:rFonts w:ascii="Calibri" w:hAnsi="Calibri"/>
          <w:b/>
          <w:color w:val="525866"/>
          <w:sz w:val="22"/>
        </w:rPr>
        <w:t>more constructive on volume</w:t>
      </w:r>
      <w:r>
        <w:rPr>
          <w:rFonts w:ascii="Calibri" w:hAnsi="Calibri"/>
          <w:color w:val="525866"/>
          <w:sz w:val="22"/>
        </w:rPr>
        <w:t xml:space="preserve"> (bulk and industrial records in Q1) while flagging fuel as a near-term Q2 headwind; no formal guidance revision has been issued post-Q1.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Reported EPS Growth (FY 2026)</w:t>
            </w:r>
          </w:p>
        </w:tc>
        <w:tc>
          <w:tcPr>
            <w:tcW w:type="dxa" w:w="1728"/>
          </w:tcPr>
          <w:p>
            <w:r>
              <w:rPr>
                <w:rFonts w:ascii="Calibri" w:hAnsi="Calibri"/>
                <w:sz w:val="22"/>
              </w:rPr>
              <w:t>Mid-single-digit growth vs. FY 2025 reported EPS</w:t>
            </w:r>
          </w:p>
        </w:tc>
        <w:tc>
          <w:tcPr>
            <w:tcW w:type="dxa" w:w="1728"/>
          </w:tcPr>
          <w:p>
            <w:r>
              <w:rPr>
                <w:rFonts w:ascii="Calibri" w:hAnsi="Calibri"/>
                <w:sz w:val="22"/>
              </w:rPr>
              <w:t>—</w:t>
            </w:r>
          </w:p>
        </w:tc>
        <w:tc>
          <w:tcPr>
            <w:tcW w:type="dxa" w:w="1728"/>
          </w:tcPr>
          <w:p>
            <w:r>
              <w:rPr>
                <w:rFonts w:ascii="Calibri" w:hAnsi="Calibri"/>
                <w:sz w:val="22"/>
              </w:rPr>
              <w:t>$12.71 FY 2026 consensus (~+4% YoY)</w:t>
            </w:r>
          </w:p>
        </w:tc>
        <w:tc>
          <w:tcPr>
            <w:tcW w:type="dxa" w:w="1728"/>
          </w:tcPr>
          <w:p>
            <w:r>
              <w:rPr>
                <w:rFonts w:ascii="Calibri" w:hAnsi="Calibri"/>
                <w:sz w:val="22"/>
              </w:rPr>
              <w:t>Unchanged. Consensus tracking at low end of mid-single-digit range; merger costs and no buybacks are explicit headwinds management called out.</w:t>
            </w:r>
          </w:p>
        </w:tc>
      </w:tr>
      <w:tr>
        <w:tc>
          <w:tcPr>
            <w:tcW w:type="dxa" w:w="1728"/>
          </w:tcPr>
          <w:p>
            <w:r>
              <w:rPr>
                <w:rFonts w:ascii="Calibri" w:hAnsi="Calibri"/>
                <w:sz w:val="22"/>
              </w:rPr>
              <w:t>Adjusted Operating Ratio (FY 2026)</w:t>
            </w:r>
          </w:p>
        </w:tc>
        <w:tc>
          <w:tcPr>
            <w:tcW w:type="dxa" w:w="1728"/>
          </w:tcPr>
          <w:p>
            <w:r>
              <w:rPr>
                <w:rFonts w:ascii="Calibri" w:hAnsi="Calibri"/>
                <w:sz w:val="22"/>
              </w:rPr>
              <w:t>Improvement vs. FY 2025 adj. OR of 59.3%</w:t>
            </w:r>
          </w:p>
        </w:tc>
        <w:tc>
          <w:tcPr>
            <w:tcW w:type="dxa" w:w="1728"/>
          </w:tcPr>
          <w:p>
            <w:r>
              <w:rPr>
                <w:rFonts w:ascii="Calibri" w:hAnsi="Calibri"/>
                <w:sz w:val="22"/>
              </w:rPr>
              <w:t>—</w:t>
            </w:r>
          </w:p>
        </w:tc>
        <w:tc>
          <w:tcPr>
            <w:tcW w:type="dxa" w:w="1728"/>
          </w:tcPr>
          <w:p>
            <w:r>
              <w:rPr>
                <w:rFonts w:ascii="Calibri" w:hAnsi="Calibri"/>
                <w:sz w:val="22"/>
              </w:rPr>
              <w:t>58.97% FY 2026 consensus</w:t>
            </w:r>
          </w:p>
        </w:tc>
        <w:tc>
          <w:tcPr>
            <w:tcW w:type="dxa" w:w="1728"/>
          </w:tcPr>
          <w:p>
            <w:r>
              <w:rPr>
                <w:rFonts w:ascii="Calibri" w:hAnsi="Calibri"/>
                <w:sz w:val="22"/>
              </w:rPr>
              <w:t>Unchanged. Consensus implies ~33 bps improvement; fuel headwind in Q2 is the primary risk to achieving this.</w:t>
            </w:r>
          </w:p>
        </w:tc>
      </w:tr>
      <w:tr>
        <w:tc>
          <w:tcPr>
            <w:tcW w:type="dxa" w:w="1728"/>
          </w:tcPr>
          <w:p>
            <w:r>
              <w:rPr>
                <w:rFonts w:ascii="Calibri" w:hAnsi="Calibri"/>
                <w:sz w:val="22"/>
              </w:rPr>
              <w:t>Diesel Fuel Price Assumption (FY 2026)</w:t>
            </w:r>
          </w:p>
        </w:tc>
        <w:tc>
          <w:tcPr>
            <w:tcW w:type="dxa" w:w="1728"/>
          </w:tcPr>
          <w:p>
            <w:r>
              <w:rPr>
                <w:rFonts w:ascii="Calibri" w:hAnsi="Calibri"/>
                <w:sz w:val="22"/>
              </w:rPr>
              <w:t>$2.35/gallon (original Jan. 2026 estimate)</w:t>
            </w:r>
          </w:p>
        </w:tc>
        <w:tc>
          <w:tcPr>
            <w:tcW w:type="dxa" w:w="1728"/>
          </w:tcPr>
          <w:p>
            <w:r>
              <w:rPr>
                <w:rFonts w:ascii="Calibri" w:hAnsi="Calibri"/>
                <w:sz w:val="22"/>
              </w:rPr>
              <w:t>Flagged as “much harder to predict” at Q1 earnings; April averaging $4+/gallon</w:t>
            </w:r>
          </w:p>
        </w:tc>
        <w:tc>
          <w:tcPr>
            <w:tcW w:type="dxa" w:w="1728"/>
          </w:tcPr>
          <w:p>
            <w:r>
              <w:rPr>
                <w:rFonts w:ascii="Calibri" w:hAnsi="Calibri"/>
                <w:sz w:val="22"/>
              </w:rPr>
              <w:t>N/A — not a consensus KPI</w:t>
            </w:r>
          </w:p>
        </w:tc>
        <w:tc>
          <w:tcPr>
            <w:tcW w:type="dxa" w:w="1728"/>
          </w:tcPr>
          <w:p>
            <w:r>
              <w:rPr>
                <w:rFonts w:ascii="Calibri" w:hAnsi="Calibri"/>
                <w:sz w:val="22"/>
              </w:rPr>
              <w:t>⚠ Effectively revised upward informally. Management did not issue a new formal estimate but acknowledged significant upside risk to fuel costs in Q2.</w:t>
            </w:r>
          </w:p>
        </w:tc>
      </w:tr>
      <w:tr>
        <w:tc>
          <w:tcPr>
            <w:tcW w:type="dxa" w:w="1728"/>
          </w:tcPr>
          <w:p>
            <w:r>
              <w:rPr>
                <w:rFonts w:ascii="Calibri" w:hAnsi="Calibri"/>
                <w:sz w:val="22"/>
              </w:rPr>
              <w:t>Compensation per Employee (FY 2026)</w:t>
            </w:r>
          </w:p>
        </w:tc>
        <w:tc>
          <w:tcPr>
            <w:tcW w:type="dxa" w:w="1728"/>
          </w:tcPr>
          <w:p>
            <w:r>
              <w:rPr>
                <w:rFonts w:ascii="Calibri" w:hAnsi="Calibri"/>
                <w:sz w:val="22"/>
              </w:rPr>
              <w:t>+4% to +5% YoY</w:t>
            </w:r>
          </w:p>
        </w:tc>
        <w:tc>
          <w:tcPr>
            <w:tcW w:type="dxa" w:w="1728"/>
          </w:tcPr>
          <w:p>
            <w:r>
              <w:rPr>
                <w:rFonts w:ascii="Calibri" w:hAnsi="Calibri"/>
                <w:sz w:val="22"/>
              </w:rPr>
              <w:t>—</w:t>
            </w:r>
          </w:p>
        </w:tc>
        <w:tc>
          <w:tcPr>
            <w:tcW w:type="dxa" w:w="1728"/>
          </w:tcPr>
          <w:p>
            <w:r>
              <w:rPr>
                <w:rFonts w:ascii="Calibri" w:hAnsi="Calibri"/>
                <w:sz w:val="22"/>
              </w:rPr>
              <w:t>N/A — not a consensus KPI</w:t>
            </w:r>
          </w:p>
        </w:tc>
        <w:tc>
          <w:tcPr>
            <w:tcW w:type="dxa" w:w="1728"/>
          </w:tcPr>
          <w:p>
            <w:r>
              <w:rPr>
                <w:rFonts w:ascii="Calibri" w:hAnsi="Calibri"/>
                <w:sz w:val="22"/>
              </w:rPr>
              <w:t>Unchanged. Record Q1 workforce productivity (5% smaller workforce) partially offsets wage inflation.</w:t>
            </w:r>
          </w:p>
        </w:tc>
      </w:tr>
      <w:tr>
        <w:tc>
          <w:tcPr>
            <w:tcW w:type="dxa" w:w="1728"/>
          </w:tcPr>
          <w:p>
            <w:r>
              <w:rPr>
                <w:rFonts w:ascii="Calibri" w:hAnsi="Calibri"/>
                <w:sz w:val="22"/>
              </w:rPr>
              <w:t>Long-Term EPS CAGR (through 2027)</w:t>
            </w:r>
          </w:p>
        </w:tc>
        <w:tc>
          <w:tcPr>
            <w:tcW w:type="dxa" w:w="1728"/>
          </w:tcPr>
          <w:p>
            <w:r>
              <w:rPr>
                <w:rFonts w:ascii="Calibri" w:hAnsi="Calibri"/>
                <w:sz w:val="22"/>
              </w:rPr>
              <w:t>High-single to low-double-digit CAGR</w:t>
            </w:r>
          </w:p>
        </w:tc>
        <w:tc>
          <w:tcPr>
            <w:tcW w:type="dxa" w:w="1728"/>
          </w:tcPr>
          <w:p>
            <w:r>
              <w:rPr>
                <w:rFonts w:ascii="Calibri" w:hAnsi="Calibri"/>
                <w:sz w:val="22"/>
              </w:rPr>
              <w:t>—</w:t>
            </w:r>
          </w:p>
        </w:tc>
        <w:tc>
          <w:tcPr>
            <w:tcW w:type="dxa" w:w="1728"/>
          </w:tcPr>
          <w:p>
            <w:r>
              <w:rPr>
                <w:rFonts w:ascii="Calibri" w:hAnsi="Calibri"/>
                <w:sz w:val="22"/>
              </w:rPr>
              <w:t>N/A — multi-year target</w:t>
            </w:r>
          </w:p>
        </w:tc>
        <w:tc>
          <w:tcPr>
            <w:tcW w:type="dxa" w:w="1728"/>
          </w:tcPr>
          <w:p>
            <w:r>
              <w:rPr>
                <w:rFonts w:ascii="Calibri" w:hAnsi="Calibri"/>
                <w:sz w:val="22"/>
              </w:rPr>
              <w:t>Explicitly reaffirmed at Q1 earnings. Merger optionality is the primary driver of long-term upside vs. near-term deceleration.</w:t>
            </w:r>
          </w:p>
        </w:tc>
      </w:tr>
      <w:tr>
        <w:tc>
          <w:tcPr>
            <w:tcW w:type="dxa" w:w="1728"/>
          </w:tcPr>
          <w:p>
            <w:r>
              <w:rPr>
                <w:rFonts w:ascii="Calibri" w:hAnsi="Calibri"/>
                <w:sz w:val="22"/>
              </w:rPr>
              <w:t>NS Merger Timeline</w:t>
            </w:r>
          </w:p>
        </w:tc>
        <w:tc>
          <w:tcPr>
            <w:tcW w:type="dxa" w:w="1728"/>
          </w:tcPr>
          <w:p>
            <w:r>
              <w:rPr>
                <w:rFonts w:ascii="Calibri" w:hAnsi="Calibri"/>
                <w:sz w:val="22"/>
              </w:rPr>
              <w:t>STB approval targeted Q2 2027; 12-month clock started May 28, 2026 (STB acceptance date)</w:t>
            </w:r>
          </w:p>
        </w:tc>
        <w:tc>
          <w:tcPr>
            <w:tcW w:type="dxa" w:w="1728"/>
          </w:tcPr>
          <w:p>
            <w:r>
              <w:rPr>
                <w:rFonts w:ascii="Calibri" w:hAnsi="Calibri"/>
                <w:sz w:val="22"/>
              </w:rPr>
              <w:t>STB placed proceedings in abeyance pending supplemental info due July 27, 2026</w:t>
            </w:r>
          </w:p>
        </w:tc>
        <w:tc>
          <w:tcPr>
            <w:tcW w:type="dxa" w:w="1728"/>
          </w:tcPr>
          <w:p>
            <w:r>
              <w:rPr>
                <w:rFonts w:ascii="Calibri" w:hAnsi="Calibri"/>
                <w:sz w:val="22"/>
              </w:rPr>
              <w:t>N/A</w:t>
            </w:r>
          </w:p>
        </w:tc>
        <w:tc>
          <w:tcPr>
            <w:tcW w:type="dxa" w:w="1728"/>
          </w:tcPr>
          <w:p>
            <w:r>
              <w:rPr>
                <w:rFonts w:ascii="Calibri" w:hAnsi="Calibri"/>
                <w:sz w:val="22"/>
              </w:rPr>
              <w:t>UNP submitting supplemental info in two batches (early July + by July 27). Management interprets 12-month clock as running from May 28 acceptance regardless of abeyance.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EPS estimates have </w:t>
      </w:r>
      <w:r>
        <w:rPr>
          <w:rFonts w:ascii="Calibri" w:hAnsi="Calibri"/>
          <w:b/>
          <w:color w:val="525866"/>
          <w:sz w:val="22"/>
        </w:rPr>
        <w:t>risen ~3% since the Q1 print</w:t>
      </w:r>
      <w:r>
        <w:rPr>
          <w:rFonts w:ascii="Calibri" w:hAnsi="Calibri"/>
          <w:color w:val="525866"/>
          <w:sz w:val="22"/>
        </w:rPr>
        <w:t xml:space="preserve"> (from $3.14 to $3.23), reflecting the positive volume read-through and operational momentum; FY 2026 estimates are also up modestly (+1.0%), suggesting the Street is incrementally more confident in the full-year guide — but the gap between consensus and guidance remains narrow, leaving limited cushion if fuel costs disappoint.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$3.14</w:t>
            </w:r>
          </w:p>
        </w:tc>
        <w:tc>
          <w:tcPr>
            <w:tcW w:type="dxa" w:w="1080"/>
          </w:tcPr>
          <w:p>
            <w:r>
              <w:rPr>
                <w:rFonts w:ascii="Calibri" w:hAnsi="Calibri"/>
                <w:sz w:val="22"/>
              </w:rPr>
              <w:t>$3.23</w:t>
            </w:r>
          </w:p>
        </w:tc>
        <w:tc>
          <w:tcPr>
            <w:tcW w:type="dxa" w:w="1080"/>
          </w:tcPr>
          <w:p>
            <w:r>
              <w:rPr>
                <w:rFonts w:ascii="Calibri" w:hAnsi="Calibri"/>
                <w:b/>
                <w:color w:val="30A46C"/>
                <w:sz w:val="22"/>
              </w:rPr>
              <w:t>+2.9%</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$12.58</w:t>
            </w:r>
          </w:p>
        </w:tc>
        <w:tc>
          <w:tcPr>
            <w:tcW w:type="dxa" w:w="1080"/>
          </w:tcPr>
          <w:p>
            <w:r>
              <w:rPr>
                <w:rFonts w:ascii="Calibri" w:hAnsi="Calibri"/>
                <w:sz w:val="22"/>
              </w:rPr>
              <w:t>$12.71</w:t>
            </w:r>
          </w:p>
        </w:tc>
        <w:tc>
          <w:tcPr>
            <w:tcW w:type="dxa" w:w="1080"/>
          </w:tcPr>
          <w:p>
            <w:r>
              <w:rPr>
                <w:rFonts w:ascii="Calibri" w:hAnsi="Calibri"/>
                <w:b/>
                <w:color w:val="30A46C"/>
                <w:sz w:val="22"/>
              </w:rPr>
              <w:t>+1.0%</w:t>
            </w:r>
          </w:p>
        </w:tc>
        <w:tc>
          <w:tcPr>
            <w:tcW w:type="dxa" w:w="1080"/>
          </w:tcPr>
          <w:p>
            <w:r>
              <w:rPr>
                <w:rFonts w:ascii="Calibri" w:hAnsi="Calibri"/>
                <w:sz w:val="22"/>
              </w:rPr>
              <w:t>Mid-single-digit reported EPS growth (implies ~$12.50–13.00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at low-mid end of guidance range</w:t>
            </w:r>
          </w:p>
        </w:tc>
      </w:tr>
      <w:tr>
        <w:tc>
          <w:tcPr>
            <w:tcW w:type="dxa" w:w="1080"/>
          </w:tcPr>
          <w:p>
            <w:r>
              <w:rPr>
                <w:rFonts w:ascii="Calibri" w:hAnsi="Calibri"/>
                <w:sz w:val="22"/>
              </w:rPr>
              <w:t>Total Revenue — Q2 2026</w:t>
            </w:r>
          </w:p>
        </w:tc>
        <w:tc>
          <w:tcPr>
            <w:tcW w:type="dxa" w:w="1080"/>
          </w:tcPr>
          <w:p>
            <w:r>
              <w:rPr>
                <w:rFonts w:ascii="Calibri" w:hAnsi="Calibri"/>
                <w:sz w:val="22"/>
              </w:rPr>
              <w:t>$6.522B</w:t>
            </w:r>
          </w:p>
        </w:tc>
        <w:tc>
          <w:tcPr>
            <w:tcW w:type="dxa" w:w="1080"/>
          </w:tcPr>
          <w:p>
            <w:r>
              <w:rPr>
                <w:rFonts w:ascii="Calibri" w:hAnsi="Calibri"/>
                <w:sz w:val="22"/>
              </w:rPr>
              <w:t>$6.701B</w:t>
            </w:r>
          </w:p>
        </w:tc>
        <w:tc>
          <w:tcPr>
            <w:tcW w:type="dxa" w:w="1080"/>
          </w:tcPr>
          <w:p>
            <w:r>
              <w:rPr>
                <w:rFonts w:ascii="Calibri" w:hAnsi="Calibri"/>
                <w:b/>
                <w:color w:val="30A46C"/>
                <w:sz w:val="22"/>
              </w:rPr>
              <w:t>+2.7%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$25.908B</w:t>
            </w:r>
          </w:p>
        </w:tc>
        <w:tc>
          <w:tcPr>
            <w:tcW w:type="dxa" w:w="1080"/>
          </w:tcPr>
          <w:p>
            <w:r>
              <w:rPr>
                <w:rFonts w:ascii="Calibri" w:hAnsi="Calibri"/>
                <w:sz w:val="22"/>
              </w:rPr>
              <w:t>$26.231B</w:t>
            </w:r>
          </w:p>
        </w:tc>
        <w:tc>
          <w:tcPr>
            <w:tcW w:type="dxa" w:w="1080"/>
          </w:tcPr>
          <w:p>
            <w:r>
              <w:rPr>
                <w:rFonts w:ascii="Calibri" w:hAnsi="Calibri"/>
                <w:b/>
                <w:color w:val="30A46C"/>
                <w:sz w:val="22"/>
              </w:rPr>
              <w:t>+1.2%</w:t>
            </w:r>
          </w:p>
        </w:tc>
        <w:tc>
          <w:tcPr>
            <w:tcW w:type="dxa" w:w="1080"/>
          </w:tcPr>
          <w:p>
            <w:r>
              <w:rPr>
                <w:rFonts w:ascii="Calibri" w:hAnsi="Calibri"/>
                <w:sz w:val="22"/>
              </w:rPr>
              <w:t>No formal $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OR — Q2 2026 (%)</w:t>
            </w:r>
          </w:p>
        </w:tc>
        <w:tc>
          <w:tcPr>
            <w:tcW w:type="dxa" w:w="1080"/>
          </w:tcPr>
          <w:p>
            <w:r>
              <w:rPr>
                <w:rFonts w:ascii="Calibri" w:hAnsi="Calibri"/>
                <w:sz w:val="22"/>
              </w:rPr>
              <w:t>59.11%</w:t>
            </w:r>
          </w:p>
        </w:tc>
        <w:tc>
          <w:tcPr>
            <w:tcW w:type="dxa" w:w="1080"/>
          </w:tcPr>
          <w:p>
            <w:r>
              <w:rPr>
                <w:rFonts w:ascii="Calibri" w:hAnsi="Calibri"/>
                <w:sz w:val="22"/>
              </w:rPr>
              <w:t>59.19%</w:t>
            </w:r>
          </w:p>
        </w:tc>
        <w:tc>
          <w:tcPr>
            <w:tcW w:type="dxa" w:w="1080"/>
          </w:tcPr>
          <w:p>
            <w:r>
              <w:rPr>
                <w:rFonts w:ascii="Calibri" w:hAnsi="Calibri"/>
                <w:b/>
                <w:color w:val="E5484D"/>
                <w:sz w:val="22"/>
              </w:rPr>
              <w:t>+8 bps (slight deterioration)</w:t>
            </w:r>
          </w:p>
        </w:tc>
        <w:tc>
          <w:tcPr>
            <w:tcW w:type="dxa" w:w="1080"/>
          </w:tcPr>
          <w:p>
            <w:r>
              <w:rPr>
                <w:rFonts w:ascii="Calibri" w:hAnsi="Calibri"/>
                <w:sz w:val="22"/>
              </w:rPr>
              <w:t>Improvement vs. FY 2025 (59.3%)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Q2 OR slightly worse than Q1 actual (59.88%) — fuel headwind priced in</w:t>
            </w:r>
          </w:p>
        </w:tc>
      </w:tr>
      <w:tr>
        <w:tc>
          <w:tcPr>
            <w:tcW w:type="dxa" w:w="1080"/>
          </w:tcPr>
          <w:p>
            <w:r>
              <w:rPr>
                <w:rFonts w:ascii="Calibri" w:hAnsi="Calibri"/>
                <w:sz w:val="22"/>
              </w:rPr>
              <w:t>Adj. OR — FY 2026 (%)</w:t>
            </w:r>
          </w:p>
        </w:tc>
        <w:tc>
          <w:tcPr>
            <w:tcW w:type="dxa" w:w="1080"/>
          </w:tcPr>
          <w:p>
            <w:r>
              <w:rPr>
                <w:rFonts w:ascii="Calibri" w:hAnsi="Calibri"/>
                <w:sz w:val="22"/>
              </w:rPr>
              <w:t>58.94%</w:t>
            </w:r>
          </w:p>
        </w:tc>
        <w:tc>
          <w:tcPr>
            <w:tcW w:type="dxa" w:w="1080"/>
          </w:tcPr>
          <w:p>
            <w:r>
              <w:rPr>
                <w:rFonts w:ascii="Calibri" w:hAnsi="Calibri"/>
                <w:sz w:val="22"/>
              </w:rPr>
              <w:t>58.97%</w:t>
            </w:r>
          </w:p>
        </w:tc>
        <w:tc>
          <w:tcPr>
            <w:tcW w:type="dxa" w:w="1080"/>
          </w:tcPr>
          <w:p>
            <w:r>
              <w:rPr>
                <w:rFonts w:ascii="Calibri" w:hAnsi="Calibri"/>
                <w:sz w:val="22"/>
              </w:rPr>
              <w:t>Flat (+3 bps)</w:t>
            </w:r>
          </w:p>
        </w:tc>
        <w:tc>
          <w:tcPr>
            <w:tcW w:type="dxa" w:w="1080"/>
          </w:tcPr>
          <w:p>
            <w:r>
              <w:rPr>
                <w:rFonts w:ascii="Calibri" w:hAnsi="Calibri"/>
                <w:sz w:val="22"/>
              </w:rPr>
              <w:t>Improvement vs. 59.3% (FY 2025 adj.)</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~33 bps improvement; achievable if H2 fuel normalizes</w:t>
            </w:r>
          </w:p>
        </w:tc>
      </w:tr>
    </w:tbl>
    <w:p>
      <w:r>
        <w:rPr>
          <w:rFonts w:ascii="Calibri" w:hAnsi="Calibri"/>
          <w:i/>
          <w:color w:val="525866"/>
          <w:sz w:val="22"/>
        </w:rPr>
        <w:t xml:space="preserve">Source: Visible Alpha Consensus and Actuals Data. Post-Q1 baseline uses consensus as of April 28, 2026 (5 trading days after the April 23 print). Current consensus as of July 22, 2026. </w:t>
      </w:r>
      <w:r>
        <w:rPr>
          <w:rFonts w:ascii="Calibri" w:hAnsi="Calibri"/>
          <w:i/>
          <w:color w:val="525866"/>
          <w:sz w:val="22"/>
        </w:rPr>
        <w:t>The upward revision in both Q2 EPS (+2.9%) and revenue (+2.7%) since the Q1 print reflects the Street incorporating the positive volume trajectory and peer read-throughs (CSX +6% volume, JBHT record intermodal loads). The OR estimate has been essentially stable, suggesting analysts are not yet pricing in a meaningful fuel tailwind for Q2 — any positive fuel surprise would be incremental upside.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UNP has outperformed both IYT (+10%) and the S&amp;P 500 (+5%) by a wide margin since the Q1 earnings date, with the stock up ~17% (from $249.40 to $292.56); the outperformance is </w:t>
      </w:r>
      <w:r>
        <w:rPr>
          <w:rFonts w:ascii="Calibri" w:hAnsi="Calibri"/>
          <w:b/>
          <w:color w:val="525866"/>
          <w:sz w:val="22"/>
        </w:rPr>
        <w:t>primarily revision-driven</w:t>
      </w:r>
      <w:r>
        <w:rPr>
          <w:rFonts w:ascii="Calibri" w:hAnsi="Calibri"/>
          <w:color w:val="525866"/>
          <w:sz w:val="22"/>
        </w:rPr>
        <w:t xml:space="preserve"> — the Q1 beat triggered a sharp re-rating on April 23 (+8.8% on the day) that has been sustained by positive peer read-throughs and merger optionality, though the stock’s premium to its pre-earnings level means a clean beat is already partially priced in.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UNP vs. IYT (iShares Transportation ETF) vs. S&amp;P 500 — Indexed to 100 at April 22, 2026 (day before Q1 2026 earnings). Source: Stock Price Data.</w:t>
      </w:r>
    </w:p>
    <w:p>
      <w:r>
        <w:rPr>
          <w:rFonts w:ascii="Calibri" w:hAnsi="Calibri"/>
          <w:b/>
          <w:color w:val="525866"/>
          <w:sz w:val="22"/>
        </w:rPr>
        <w:t xml:space="preserve">Sector ETF: </w:t>
      </w:r>
      <w:r>
        <w:rPr>
          <w:rFonts w:ascii="Calibri" w:hAnsi="Calibri"/>
          <w:color w:val="525866"/>
          <w:sz w:val="22"/>
        </w:rPr>
        <w:t>IYT (iShares U.S. Transportation ETF) — appropriate for UNP as a large-cap freight railroad; IYT is the most widely used transportation sector benchmark and includes Class I railroads, truckers, and logistics companies. UNP is one of IYT’s largest holdings.</w:t>
      </w:r>
    </w:p>
    <w:p>
      <w:pPr>
        <w:pStyle w:val="ListBullet"/>
        <w:ind w:left="360" w:hanging="360"/>
      </w:pPr>
      <w:r>
        <w:rPr>
          <w:rFonts w:ascii="Calibri" w:hAnsi="Calibri"/>
          <w:b/>
          <w:color w:val="525866"/>
          <w:sz w:val="22"/>
        </w:rPr>
        <w:t xml:space="preserve">April 23, 2026 (Q1 2026 Earnings): </w:t>
      </w:r>
      <w:r>
        <w:rPr>
          <w:rFonts w:ascii="Calibri" w:hAnsi="Calibri"/>
          <w:color w:val="525866"/>
          <w:sz w:val="22"/>
        </w:rPr>
        <w:t>UNP surged +8.8% on the day (from $249.40 to $271.26) on record Q1 operating income, net income, and all six efficiency metrics — the largest single-day earnings reaction in recent history for the stock. IYT gained +1.7% and SPY fell -0.4% on the same day, confirming the move was UNP-specific.</w:t>
      </w:r>
    </w:p>
    <w:p>
      <w:pPr>
        <w:pStyle w:val="ListBullet"/>
        <w:ind w:left="360" w:hanging="360"/>
      </w:pPr>
      <w:r>
        <w:rPr>
          <w:rFonts w:ascii="Calibri" w:hAnsi="Calibri"/>
          <w:b/>
          <w:color w:val="525866"/>
          <w:sz w:val="22"/>
        </w:rPr>
        <w:t xml:space="preserve">May 28, 2026 (STB Acceptance): </w:t>
      </w:r>
      <w:r>
        <w:rPr>
          <w:rFonts w:ascii="Calibri" w:hAnsi="Calibri"/>
          <w:color w:val="525866"/>
          <w:sz w:val="22"/>
        </w:rPr>
        <w:t>STB formally accepted UNP’s revised NS merger application, placing proceedings in abeyance pending supplemental information due July 27. Stock held gains as management interpreted the 12-month statutory clock as having started from the acceptance date.</w:t>
      </w:r>
    </w:p>
    <w:p>
      <w:pPr>
        <w:pStyle w:val="ListBullet"/>
        <w:ind w:left="360" w:hanging="360"/>
      </w:pPr>
      <w:r>
        <w:rPr>
          <w:rFonts w:ascii="Calibri" w:hAnsi="Calibri"/>
          <w:b/>
          <w:color w:val="525866"/>
          <w:sz w:val="22"/>
        </w:rPr>
        <w:t xml:space="preserve">July 16, 2026 (CSX Q2 Earnings Read-Through): </w:t>
      </w:r>
      <w:r>
        <w:rPr>
          <w:rFonts w:ascii="Calibri" w:hAnsi="Calibri"/>
          <w:color w:val="525866"/>
          <w:sz w:val="22"/>
        </w:rPr>
        <w:t>UNP jumped ~+3.8% (from $288.36 to $299.42) as CSX reported record Q2 revenue (+10% YoY) and raised full-year guidance to mid-to-high single-digit revenue growth with &gt;350 bps margin expansion — a strong positive read-through for rail demand.</w:t>
      </w:r>
    </w:p>
    <w:p>
      <w:pPr>
        <w:pStyle w:val="ListBullet"/>
        <w:ind w:left="360" w:hanging="360"/>
      </w:pPr>
      <w:r>
        <w:rPr>
          <w:rFonts w:ascii="Calibri" w:hAnsi="Calibri"/>
          <w:b/>
          <w:color w:val="525866"/>
          <w:sz w:val="22"/>
        </w:rPr>
        <w:t xml:space="preserve">July 22, 2026 (Current): </w:t>
      </w:r>
      <w:r>
        <w:rPr>
          <w:rFonts w:ascii="Calibri" w:hAnsi="Calibri"/>
          <w:color w:val="525866"/>
          <w:sz w:val="22"/>
        </w:rPr>
        <w:t>UNP closed at $292.56, with post-market trading at $298.00 following CSX’s and KNX’s Q2 results reported today. The stock is up ~17.3% since the Q1 earnings date vs. IYT +9.6% and SPY +5.1%.</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Three peers reporting Q2 2026 results in the last 60 days paint a </w:t>
      </w:r>
      <w:r>
        <w:rPr>
          <w:rFonts w:ascii="Calibri" w:hAnsi="Calibri"/>
          <w:b/>
          <w:color w:val="525866"/>
          <w:sz w:val="22"/>
        </w:rPr>
        <w:t>uniformly bullish picture for rail and intermodal demand</w:t>
      </w:r>
      <w:r>
        <w:rPr>
          <w:rFonts w:ascii="Calibri" w:hAnsi="Calibri"/>
          <w:color w:val="525866"/>
          <w:sz w:val="22"/>
        </w:rPr>
        <w:t>: CSX delivered record revenue and raised guidance, JBHT set a quarterly intermodal volume record calling it the strongest intermodal value proposition in over a decade, and KNX confirmed the tightest truck capacity since 2021 — all of which are direct read-throughs for UNP’s Q2 volumes, pricing, and OR trajectory.</w:t>
      </w:r>
    </w:p>
    <w:p>
      <w:pPr>
        <w:pStyle w:val="Heading3"/>
      </w:pPr>
      <w:r>
        <w:rPr>
          <w:rFonts w:ascii="Calibri" w:hAnsi="Calibri"/>
          <w:b/>
          <w:color w:val="3B4259"/>
          <w:sz w:val="24"/>
        </w:rPr>
        <w:t>CSX Corporation (CSX) — Q2 2026 Earnings (Reported July 22, 2026)</w:t>
      </w:r>
    </w:p>
    <w:p>
      <w:r>
        <w:rPr>
          <w:rFonts w:ascii="Calibri" w:hAnsi="Calibri"/>
          <w:b/>
          <w:color w:val="525866"/>
          <w:sz w:val="22"/>
        </w:rPr>
        <w:t xml:space="preserve">Relevance to UNP: </w:t>
      </w:r>
      <w:r>
        <w:rPr>
          <w:rFonts w:ascii="Calibri" w:hAnsi="Calibri"/>
          <w:color w:val="525866"/>
          <w:sz w:val="22"/>
        </w:rPr>
        <w:t>CSX is UNP’s closest Class I railroad peer (eastern network vs. UNP’s western network). CSX’s Q2 results are the single most direct read-through for UNP’s volume, pricing, and margin trajectory.</w:t>
      </w:r>
    </w:p>
    <w:p>
      <w:pPr>
        <w:pStyle w:val="ListBullet"/>
        <w:ind w:left="360" w:hanging="360"/>
      </w:pPr>
      <w:r>
        <w:rPr>
          <w:rFonts w:ascii="Calibri" w:hAnsi="Calibri"/>
          <w:b/>
          <w:color w:val="525866"/>
          <w:sz w:val="22"/>
        </w:rPr>
        <w:t xml:space="preserve">Record revenue quarter: </w:t>
      </w:r>
      <w:r>
        <w:rPr>
          <w:rFonts w:ascii="Calibri" w:hAnsi="Calibri"/>
          <w:color w:val="525866"/>
          <w:sz w:val="22"/>
        </w:rPr>
        <w:t xml:space="preserve">CSX reported total volume +6% YoY and total revenue +10% YoY, reaching a new quarterly record. Revenue per unit (RPU) was up 4% YoY. </w:t>
      </w:r>
      <w:r>
        <w:rPr>
          <w:rFonts w:ascii="Calibri" w:hAnsi="Calibri"/>
          <w:b/>
          <w:color w:val="002FA7"/>
          <w:sz w:val="22"/>
        </w:rPr>
        <w:t xml:space="preserve">Read-through: </w:t>
      </w:r>
      <w:r>
        <w:rPr>
          <w:rFonts w:ascii="Calibri" w:hAnsi="Calibri"/>
          <w:color w:val="525866"/>
          <w:sz w:val="22"/>
        </w:rPr>
        <w:t xml:space="preserve"> Confirms broad-based rail demand recovery in Q2 2026; UNP’s consensus revenue estimate of $6.70B (+8.9% YoY) looks achievable given CSX’s +10% print.</w:t>
      </w:r>
    </w:p>
    <w:p>
      <w:pPr>
        <w:pStyle w:val="ListBullet"/>
        <w:ind w:left="360" w:hanging="360"/>
      </w:pPr>
      <w:r>
        <w:rPr>
          <w:rFonts w:ascii="Calibri" w:hAnsi="Calibri"/>
          <w:b/>
          <w:color w:val="525866"/>
          <w:sz w:val="22"/>
        </w:rPr>
        <w:t xml:space="preserve">Intermodal momentum: </w:t>
      </w:r>
      <w:r>
        <w:rPr>
          <w:rFonts w:ascii="Calibri" w:hAnsi="Calibri"/>
          <w:color w:val="525866"/>
          <w:sz w:val="22"/>
        </w:rPr>
        <w:t xml:space="preserve">Intermodal was the largest contributor to unit growth, with revenue +26% on 9% higher volume and RPU +16% YoY driven by fuel surcharge. Domestic intermodal accelerated as truck-to-rail conversions picked up. </w:t>
      </w:r>
      <w:r>
        <w:rPr>
          <w:rFonts w:ascii="Calibri" w:hAnsi="Calibri"/>
          <w:b/>
          <w:color w:val="002FA7"/>
          <w:sz w:val="22"/>
        </w:rPr>
        <w:t xml:space="preserve">Read-through: </w:t>
      </w:r>
      <w:r>
        <w:rPr>
          <w:rFonts w:ascii="Calibri" w:hAnsi="Calibri"/>
          <w:color w:val="525866"/>
          <w:sz w:val="22"/>
        </w:rPr>
        <w:t xml:space="preserve"> UNP’s domestic intermodal has delivered three consecutive record quarters; CSX’s data confirms the conversion trend is real and accelerating, supporting UNP’s premium segment volumes.</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Core pricing at or above plan; same-store sales pricing expected stronger in 2026 than 2025. Merchandise RPU ex-fuel +1%; intermodal pricing accelerating in spot and recent contract renewals. </w:t>
      </w:r>
      <w:r>
        <w:rPr>
          <w:rFonts w:ascii="Calibri" w:hAnsi="Calibri"/>
          <w:b/>
          <w:color w:val="002FA7"/>
          <w:sz w:val="22"/>
        </w:rPr>
        <w:t xml:space="preserve">Read-through: </w:t>
      </w:r>
      <w:r>
        <w:rPr>
          <w:rFonts w:ascii="Calibri" w:hAnsi="Calibri"/>
          <w:color w:val="525866"/>
          <w:sz w:val="22"/>
        </w:rPr>
        <w:t xml:space="preserve"> Positive for UNP’s pricing trajectory, though UNP management has acknowledged pricing has not yet fully reflected service quality improvements — CSX’s data suggests the industry is moving in the right direction.</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CSX raised FY 2026 guidance to mid-to-high single-digit revenue growth, &gt;350 bps operating margin expansion, and &gt;80% free cash flow growth. Capital spending unchanged at &lt;$2.4B. </w:t>
      </w:r>
      <w:r>
        <w:rPr>
          <w:rFonts w:ascii="Calibri" w:hAnsi="Calibri"/>
          <w:b/>
          <w:color w:val="002FA7"/>
          <w:sz w:val="22"/>
        </w:rPr>
        <w:t xml:space="preserve">Read-through: </w:t>
      </w:r>
      <w:r>
        <w:rPr>
          <w:rFonts w:ascii="Calibri" w:hAnsi="Calibri"/>
          <w:color w:val="525866"/>
          <w:sz w:val="22"/>
        </w:rPr>
        <w:t xml:space="preserve"> A guidance raise from the first Class I to report is a strong positive signal for UNP’s ability to affirm or raise its own FY 2026 guidance tomorrow.</w:t>
      </w:r>
    </w:p>
    <w:p>
      <w:pPr>
        <w:pStyle w:val="ListBullet"/>
        <w:ind w:left="360" w:hanging="360"/>
      </w:pPr>
      <w:r>
        <w:rPr>
          <w:rFonts w:ascii="Calibri" w:hAnsi="Calibri"/>
          <w:b/>
          <w:color w:val="525866"/>
          <w:sz w:val="22"/>
        </w:rPr>
        <w:t xml:space="preserve">Service headwinds: </w:t>
      </w:r>
      <w:r>
        <w:rPr>
          <w:rFonts w:ascii="Calibri" w:hAnsi="Calibri"/>
          <w:color w:val="525866"/>
          <w:sz w:val="22"/>
        </w:rPr>
        <w:t xml:space="preserve">CSX noted service metrics (terminal dwell, trip plan performance) are not yet where desired due to stronger-than-expected demand and tighter crew availability in summer months. Sequential improvement expected. </w:t>
      </w:r>
      <w:r>
        <w:rPr>
          <w:rFonts w:ascii="Calibri" w:hAnsi="Calibri"/>
          <w:b/>
          <w:color w:val="002FA7"/>
          <w:sz w:val="22"/>
        </w:rPr>
        <w:t xml:space="preserve">Read-through: </w:t>
      </w:r>
      <w:r>
        <w:rPr>
          <w:rFonts w:ascii="Calibri" w:hAnsi="Calibri"/>
          <w:color w:val="525866"/>
          <w:sz w:val="22"/>
        </w:rPr>
        <w:t xml:space="preserve"> UNP’s record Q1 service metrics (freight car velocity +9%, terminal dwell best-ever) may face similar pressure in Q2 if demand accelerated faster than crew availability — watch for any service metric commentary on the call.</w:t>
      </w:r>
    </w:p>
    <w:p>
      <w:pPr>
        <w:pStyle w:val="ListBullet"/>
        <w:ind w:left="360" w:hanging="360"/>
      </w:pPr>
      <w:r>
        <w:rPr>
          <w:rFonts w:ascii="Calibri" w:hAnsi="Calibri"/>
          <w:b/>
          <w:color w:val="525866"/>
          <w:sz w:val="22"/>
        </w:rPr>
        <w:t xml:space="preserve">Coal: </w:t>
      </w:r>
      <w:r>
        <w:rPr>
          <w:rFonts w:ascii="Calibri" w:hAnsi="Calibri"/>
          <w:color w:val="525866"/>
          <w:sz w:val="22"/>
        </w:rPr>
        <w:t xml:space="preserve">Coal revenue +9% on 4% higher volume; export tonnage +12% YoY driven by mine restarts. Domestic coal -2% on lower natural gas prices and normalized inventories. </w:t>
      </w:r>
      <w:r>
        <w:rPr>
          <w:rFonts w:ascii="Calibri" w:hAnsi="Calibri"/>
          <w:b/>
          <w:color w:val="002FA7"/>
          <w:sz w:val="22"/>
        </w:rPr>
        <w:t xml:space="preserve">Read-through: </w:t>
      </w:r>
      <w:r>
        <w:rPr>
          <w:rFonts w:ascii="Calibri" w:hAnsi="Calibri"/>
          <w:color w:val="525866"/>
          <w:sz w:val="22"/>
        </w:rPr>
        <w:t xml:space="preserve"> Mixed for UNP’s bulk segment — export coal strength is a positive, but domestic coal weakness from natural gas pricing is a headwind UNP also flagged at Q1 earnings.</w:t>
      </w:r>
    </w:p>
    <w:p>
      <w:pPr>
        <w:pStyle w:val="ListBullet"/>
        <w:ind w:left="360" w:hanging="360"/>
      </w:pPr>
      <w:r>
        <w:rPr>
          <w:rFonts w:ascii="Calibri" w:hAnsi="Calibri"/>
          <w:b/>
          <w:color w:val="525866"/>
          <w:sz w:val="22"/>
        </w:rPr>
        <w:t xml:space="preserve">Automotive: </w:t>
      </w:r>
      <w:r>
        <w:rPr>
          <w:rFonts w:ascii="Calibri" w:hAnsi="Calibri"/>
          <w:color w:val="525866"/>
          <w:sz w:val="22"/>
        </w:rPr>
        <w:t xml:space="preserve">CSX sees potential for momentum to slow in automotive following strong Q2 production; normalized inventories and summer shutdowns leading to softer H2 start. North American light vehicle production still expected down ~2% for the year. </w:t>
      </w:r>
      <w:r>
        <w:rPr>
          <w:rFonts w:ascii="Calibri" w:hAnsi="Calibri"/>
          <w:b/>
          <w:color w:val="002FA7"/>
          <w:sz w:val="22"/>
        </w:rPr>
        <w:t xml:space="preserve">Read-through: </w:t>
      </w:r>
      <w:r>
        <w:rPr>
          <w:rFonts w:ascii="Calibri" w:hAnsi="Calibri"/>
          <w:color w:val="525866"/>
          <w:sz w:val="22"/>
        </w:rPr>
        <w:t xml:space="preserve"> Confirms UNP’s automotive headwind narrative; no positive surprise expected from this segment.</w:t>
      </w:r>
    </w:p>
    <w:p>
      <w:pPr>
        <w:pStyle w:val="Heading3"/>
      </w:pPr>
      <w:r>
        <w:rPr>
          <w:rFonts w:ascii="Calibri" w:hAnsi="Calibri"/>
          <w:b/>
          <w:color w:val="3B4259"/>
          <w:sz w:val="24"/>
        </w:rPr>
        <w:t>J.B. Hunt Transport Services (JBHT) — Q2 2026 Earnings (Reported July 15, 2026)</w:t>
      </w:r>
    </w:p>
    <w:p>
      <w:r>
        <w:rPr>
          <w:rFonts w:ascii="Calibri" w:hAnsi="Calibri"/>
          <w:b/>
          <w:color w:val="525866"/>
          <w:sz w:val="22"/>
        </w:rPr>
        <w:t xml:space="preserve">Relevance to UNP: </w:t>
      </w:r>
      <w:r>
        <w:rPr>
          <w:rFonts w:ascii="Calibri" w:hAnsi="Calibri"/>
          <w:color w:val="525866"/>
          <w:sz w:val="22"/>
        </w:rPr>
        <w:t>JBHT is UNP’s largest intermodal partner (JBI segment uses UP’s western network). JBHT’s intermodal volume and pricing data are a direct leading indicator for UNP’s premium segment performance.</w:t>
      </w:r>
    </w:p>
    <w:p>
      <w:pPr>
        <w:pStyle w:val="ListBullet"/>
        <w:ind w:left="360" w:hanging="360"/>
      </w:pPr>
      <w:r>
        <w:rPr>
          <w:rFonts w:ascii="Calibri" w:hAnsi="Calibri"/>
          <w:b/>
          <w:color w:val="525866"/>
          <w:sz w:val="22"/>
        </w:rPr>
        <w:t xml:space="preserve">Record intermodal quarter: </w:t>
      </w:r>
      <w:r>
        <w:rPr>
          <w:rFonts w:ascii="Calibri" w:hAnsi="Calibri"/>
          <w:color w:val="525866"/>
          <w:sz w:val="22"/>
        </w:rPr>
        <w:t xml:space="preserve">JBHT set a quarterly intermodal volume record with over 578,000 loads, up 10% YoY — the first double-digit volume growth quarter in over a decade. Monthly volumes accelerated: +9% April, +9% May, +12% June. </w:t>
      </w:r>
      <w:r>
        <w:rPr>
          <w:rFonts w:ascii="Calibri" w:hAnsi="Calibri"/>
          <w:b/>
          <w:color w:val="002FA7"/>
          <w:sz w:val="22"/>
        </w:rPr>
        <w:t xml:space="preserve">Read-through: </w:t>
      </w:r>
      <w:r>
        <w:rPr>
          <w:rFonts w:ascii="Calibri" w:hAnsi="Calibri"/>
          <w:color w:val="525866"/>
          <w:sz w:val="22"/>
        </w:rPr>
        <w:t xml:space="preserve"> Directly positive for UNP’s domestic intermodal volumes in Q2 2026. JBHT’s eastern volume grew 16% (up 31% on a two-year stack), but TransCon (UNP’s primary corridor) grew 5% — still positive but more modest.</w:t>
      </w:r>
    </w:p>
    <w:p>
      <w:pPr>
        <w:pStyle w:val="ListBullet"/>
        <w:ind w:left="360" w:hanging="360"/>
      </w:pPr>
      <w:r>
        <w:rPr>
          <w:rFonts w:ascii="Calibri" w:hAnsi="Calibri"/>
          <w:b/>
          <w:color w:val="525866"/>
          <w:sz w:val="22"/>
        </w:rPr>
        <w:t xml:space="preserve">Strongest intermodal value proposition in over a decade: </w:t>
      </w:r>
      <w:r>
        <w:rPr>
          <w:rFonts w:ascii="Calibri" w:hAnsi="Calibri"/>
          <w:color w:val="525866"/>
          <w:sz w:val="22"/>
        </w:rPr>
        <w:t xml:space="preserve">JBHT management stated intermodal’s value proposition is “the strongest it has been in more than a decade,” driven by tighter truck capacity, higher fuel costs, and accelerating truck-to-rail conversions at levels “not seen in more than a decade.” </w:t>
      </w:r>
      <w:r>
        <w:rPr>
          <w:rFonts w:ascii="Calibri" w:hAnsi="Calibri"/>
          <w:b/>
          <w:color w:val="002FA7"/>
          <w:sz w:val="22"/>
        </w:rPr>
        <w:t xml:space="preserve">Read-through: </w:t>
      </w:r>
      <w:r>
        <w:rPr>
          <w:rFonts w:ascii="Calibri" w:hAnsi="Calibri"/>
          <w:color w:val="525866"/>
          <w:sz w:val="22"/>
        </w:rPr>
        <w:t xml:space="preserve"> Structural tailwind for UNP’s domestic intermodal segment; supports the case for sustained volume growth beyond Q2.</w:t>
      </w:r>
    </w:p>
    <w:p>
      <w:pPr>
        <w:pStyle w:val="ListBullet"/>
        <w:ind w:left="360" w:hanging="360"/>
      </w:pPr>
      <w:r>
        <w:rPr>
          <w:rFonts w:ascii="Calibri" w:hAnsi="Calibri"/>
          <w:b/>
          <w:color w:val="525866"/>
          <w:sz w:val="22"/>
        </w:rPr>
        <w:t xml:space="preserve">Rail service commentary: </w:t>
      </w:r>
      <w:r>
        <w:rPr>
          <w:rFonts w:ascii="Calibri" w:hAnsi="Calibri"/>
          <w:color w:val="525866"/>
          <w:sz w:val="22"/>
        </w:rPr>
        <w:t xml:space="preserve">JBHT noted “rail service has moderated slightly as volumes accelerated” but expressed confidence in rail providers’ commitment to service and collective ability to support higher volumes. No concern about rail service moving forward. </w:t>
      </w:r>
      <w:r>
        <w:rPr>
          <w:rFonts w:ascii="Calibri" w:hAnsi="Calibri"/>
          <w:b/>
          <w:color w:val="002FA7"/>
          <w:sz w:val="22"/>
        </w:rPr>
        <w:t xml:space="preserve">Read-through: </w:t>
      </w:r>
      <w:r>
        <w:rPr>
          <w:rFonts w:ascii="Calibri" w:hAnsi="Calibri"/>
          <w:color w:val="525866"/>
          <w:sz w:val="22"/>
        </w:rPr>
        <w:t xml:space="preserve"> Mild caution — UNP’s record Q1 service metrics may have faced some pressure in Q2 as volumes accelerated, consistent with CSX’s commentary. Watch for any service metric softness in UNP’s Q2 data.</w:t>
      </w:r>
    </w:p>
    <w:p>
      <w:pPr>
        <w:pStyle w:val="ListBullet"/>
        <w:ind w:left="360" w:hanging="360"/>
      </w:pPr>
      <w:r>
        <w:rPr>
          <w:rFonts w:ascii="Calibri" w:hAnsi="Calibri"/>
          <w:b/>
          <w:color w:val="525866"/>
          <w:sz w:val="22"/>
        </w:rPr>
        <w:t xml:space="preserve">Intermodal pricing: </w:t>
      </w:r>
      <w:r>
        <w:rPr>
          <w:rFonts w:ascii="Calibri" w:hAnsi="Calibri"/>
          <w:color w:val="525866"/>
          <w:sz w:val="22"/>
        </w:rPr>
        <w:t xml:space="preserve">Revenue per load ex-fuel showed +1% positive price in Q2. Bid season nearing completion; pricing opportunity heading into 2027 bid season described as increasingly encouraging given the pace of truckload market change. </w:t>
      </w:r>
      <w:r>
        <w:rPr>
          <w:rFonts w:ascii="Calibri" w:hAnsi="Calibri"/>
          <w:b/>
          <w:color w:val="002FA7"/>
          <w:sz w:val="22"/>
        </w:rPr>
        <w:t xml:space="preserve">Read-through: </w:t>
      </w:r>
      <w:r>
        <w:rPr>
          <w:rFonts w:ascii="Calibri" w:hAnsi="Calibri"/>
          <w:color w:val="525866"/>
          <w:sz w:val="22"/>
        </w:rPr>
        <w:t xml:space="preserve"> Intermodal pricing is still lagging truckload, but the trajectory is improving. UNP’s multi-year contract structure means near-term pricing gains will be modest, but the setup for 2027 is strengthening.</w:t>
      </w:r>
    </w:p>
    <w:p>
      <w:pPr>
        <w:pStyle w:val="ListBullet"/>
        <w:ind w:left="360" w:hanging="360"/>
      </w:pPr>
      <w:r>
        <w:rPr>
          <w:rFonts w:ascii="Calibri" w:hAnsi="Calibri"/>
          <w:b/>
          <w:color w:val="525866"/>
          <w:sz w:val="22"/>
        </w:rPr>
        <w:t xml:space="preserve">Truck capacity tightening: </w:t>
      </w:r>
      <w:r>
        <w:rPr>
          <w:rFonts w:ascii="Calibri" w:hAnsi="Calibri"/>
          <w:color w:val="525866"/>
          <w:sz w:val="22"/>
        </w:rPr>
        <w:t xml:space="preserve">JBHT cited regulatory enforcement (FMCSA/DOT CDL crackdowns, Montgomery Supreme Court ruling on broker liability) as structural supply-side constraints that are “in early stages” and will persist. Tender rejection rates at levels not seen since 2021-2022. </w:t>
      </w:r>
      <w:r>
        <w:rPr>
          <w:rFonts w:ascii="Calibri" w:hAnsi="Calibri"/>
          <w:b/>
          <w:color w:val="002FA7"/>
          <w:sz w:val="22"/>
        </w:rPr>
        <w:t xml:space="preserve">Read-through: </w:t>
      </w:r>
      <w:r>
        <w:rPr>
          <w:rFonts w:ascii="Calibri" w:hAnsi="Calibri"/>
          <w:color w:val="525866"/>
          <w:sz w:val="22"/>
        </w:rPr>
        <w:t xml:space="preserve"> Structural truck capacity tightening is a multi-quarter tailwind for rail intermodal conversion. This is not a one-quarter phenomenon — supports UNP’s domestic intermodal growth narrative through 2026 and into 2027.</w:t>
      </w:r>
    </w:p>
    <w:p>
      <w:pPr>
        <w:pStyle w:val="ListBullet"/>
        <w:ind w:left="360" w:hanging="360"/>
      </w:pPr>
      <w:r>
        <w:rPr>
          <w:rFonts w:ascii="Calibri" w:hAnsi="Calibri"/>
          <w:b/>
          <w:color w:val="525866"/>
          <w:sz w:val="22"/>
        </w:rPr>
        <w:t xml:space="preserve">Overall financial performance: </w:t>
      </w:r>
      <w:r>
        <w:rPr>
          <w:rFonts w:ascii="Calibri" w:hAnsi="Calibri"/>
          <w:color w:val="525866"/>
          <w:sz w:val="22"/>
        </w:rPr>
        <w:t xml:space="preserve">JBHT total revenue +19% YoY, operating income +32%, diluted EPS +45% on a GAAP basis. Removed $135M+ of structural costs over the past year. </w:t>
      </w:r>
      <w:r>
        <w:rPr>
          <w:rFonts w:ascii="Calibri" w:hAnsi="Calibri"/>
          <w:b/>
          <w:color w:val="002FA7"/>
          <w:sz w:val="22"/>
        </w:rPr>
        <w:t xml:space="preserve">Read-through: </w:t>
      </w:r>
      <w:r>
        <w:rPr>
          <w:rFonts w:ascii="Calibri" w:hAnsi="Calibri"/>
          <w:color w:val="525866"/>
          <w:sz w:val="22"/>
        </w:rPr>
        <w:t xml:space="preserve"> Strong financial performance from UNP’s largest intermodal partner confirms the demand environment is real and translating to earnings.</w:t>
      </w:r>
    </w:p>
    <w:p>
      <w:pPr>
        <w:pStyle w:val="Heading3"/>
      </w:pPr>
      <w:r>
        <w:rPr>
          <w:rFonts w:ascii="Calibri" w:hAnsi="Calibri"/>
          <w:b/>
          <w:color w:val="3B4259"/>
          <w:sz w:val="24"/>
        </w:rPr>
        <w:t>Knight-Swift Transportation (KNX) — Q2 2026 Earnings (Reported July 22, 2026)</w:t>
      </w:r>
    </w:p>
    <w:p>
      <w:r>
        <w:rPr>
          <w:rFonts w:ascii="Calibri" w:hAnsi="Calibri"/>
          <w:b/>
          <w:color w:val="525866"/>
          <w:sz w:val="22"/>
        </w:rPr>
        <w:t xml:space="preserve">Relevance to UNP: </w:t>
      </w:r>
      <w:r>
        <w:rPr>
          <w:rFonts w:ascii="Calibri" w:hAnsi="Calibri"/>
          <w:color w:val="525866"/>
          <w:sz w:val="22"/>
        </w:rPr>
        <w:t>KNX is the largest truckload carrier in North America. Truck market tightening is the primary driver of intermodal conversion, making KNX’s commentary a leading indicator for UNP’s domestic intermodal demand and pricing power.</w:t>
      </w:r>
    </w:p>
    <w:p>
      <w:pPr>
        <w:pStyle w:val="ListBullet"/>
        <w:ind w:left="360" w:hanging="360"/>
      </w:pPr>
      <w:r>
        <w:rPr>
          <w:rFonts w:ascii="Calibri" w:hAnsi="Calibri"/>
          <w:b/>
          <w:color w:val="525866"/>
          <w:sz w:val="22"/>
        </w:rPr>
        <w:t xml:space="preserve">Tightest truck market since 2021: </w:t>
      </w:r>
      <w:r>
        <w:rPr>
          <w:rFonts w:ascii="Calibri" w:hAnsi="Calibri"/>
          <w:color w:val="525866"/>
          <w:sz w:val="22"/>
        </w:rPr>
        <w:t xml:space="preserve">KNX reported spot rates trending well ahead of normal seasonality, tender rejection rates at levels not seen since 2021, and contractual bid activity “growing increasingly supportive.” The market shift is “largely supply driven.” </w:t>
      </w:r>
      <w:r>
        <w:rPr>
          <w:rFonts w:ascii="Calibri" w:hAnsi="Calibri"/>
          <w:b/>
          <w:color w:val="002FA7"/>
          <w:sz w:val="22"/>
        </w:rPr>
        <w:t xml:space="preserve">Read-through: </w:t>
      </w:r>
      <w:r>
        <w:rPr>
          <w:rFonts w:ascii="Calibri" w:hAnsi="Calibri"/>
          <w:color w:val="525866"/>
          <w:sz w:val="22"/>
        </w:rPr>
        <w:t xml:space="preserve"> Directly positive for UNP’s intermodal conversion opportunity. Tighter truck supply = more freight shifting to rail, particularly on longer-haul lanes where intermodal is competitive.</w:t>
      </w:r>
    </w:p>
    <w:p>
      <w:pPr>
        <w:pStyle w:val="ListBullet"/>
        <w:ind w:left="360" w:hanging="360"/>
      </w:pPr>
      <w:r>
        <w:rPr>
          <w:rFonts w:ascii="Calibri" w:hAnsi="Calibri"/>
          <w:b/>
          <w:color w:val="525866"/>
          <w:sz w:val="22"/>
        </w:rPr>
        <w:t xml:space="preserve">Double-digit rate gains accelerating: </w:t>
      </w:r>
      <w:r>
        <w:rPr>
          <w:rFonts w:ascii="Calibri" w:hAnsi="Calibri"/>
          <w:color w:val="525866"/>
          <w:sz w:val="22"/>
        </w:rPr>
        <w:t xml:space="preserve">KNX is “securing for the most part, double digit rates in bids and negotiations.” Revenue per loaded mile ex-fuel +5.5% YoY for Q2, accelerating to +8.4% in June alone. Q3 guidance implies continued double-digit rate gains as more recent bids take effect. </w:t>
      </w:r>
      <w:r>
        <w:rPr>
          <w:rFonts w:ascii="Calibri" w:hAnsi="Calibri"/>
          <w:b/>
          <w:color w:val="002FA7"/>
          <w:sz w:val="22"/>
        </w:rPr>
        <w:t xml:space="preserve">Read-through: </w:t>
      </w:r>
      <w:r>
        <w:rPr>
          <w:rFonts w:ascii="Calibri" w:hAnsi="Calibri"/>
          <w:color w:val="525866"/>
          <w:sz w:val="22"/>
        </w:rPr>
        <w:t xml:space="preserve"> Rising truck rates widen the intermodal price advantage, accelerating conversion. UNP’s domestic intermodal pricing should benefit with a lag as contracts reprice.</w:t>
      </w:r>
    </w:p>
    <w:p>
      <w:pPr>
        <w:pStyle w:val="ListBullet"/>
        <w:ind w:left="360" w:hanging="360"/>
      </w:pPr>
      <w:r>
        <w:rPr>
          <w:rFonts w:ascii="Calibri" w:hAnsi="Calibri"/>
          <w:b/>
          <w:color w:val="525866"/>
          <w:sz w:val="22"/>
        </w:rPr>
        <w:t xml:space="preserve">Structural supply constraints: </w:t>
      </w:r>
      <w:r>
        <w:rPr>
          <w:rFonts w:ascii="Calibri" w:hAnsi="Calibri"/>
          <w:color w:val="525866"/>
          <w:sz w:val="22"/>
        </w:rPr>
        <w:t xml:space="preserve">KNX cited FMCSA/DOT enforcement (CDL crackdowns, cabotage prevention, CDL school shutdowns), the Montgomery Supreme Court ruling on broker liability, and driver market tightening as structural — not cyclical — constraints. Management compared this cycle to 2018 ELD implementation but believes it will be “even more durable.” </w:t>
      </w:r>
      <w:r>
        <w:rPr>
          <w:rFonts w:ascii="Calibri" w:hAnsi="Calibri"/>
          <w:b/>
          <w:color w:val="002FA7"/>
          <w:sz w:val="22"/>
        </w:rPr>
        <w:t xml:space="preserve">Read-through: </w:t>
      </w:r>
      <w:r>
        <w:rPr>
          <w:rFonts w:ascii="Calibri" w:hAnsi="Calibri"/>
          <w:color w:val="525866"/>
          <w:sz w:val="22"/>
        </w:rPr>
        <w:t xml:space="preserve"> If KNX is right that this is a multi-year structural tightening (not a short-cycle spike), UNP’s intermodal conversion opportunity extends well beyond Q2 2026 — a meaningful positive for the long-term volume outlook.</w:t>
      </w:r>
    </w:p>
    <w:p>
      <w:pPr>
        <w:pStyle w:val="ListBullet"/>
        <w:ind w:left="360" w:hanging="360"/>
      </w:pPr>
      <w:r>
        <w:rPr>
          <w:rFonts w:ascii="Calibri" w:hAnsi="Calibri"/>
          <w:b/>
          <w:color w:val="525866"/>
          <w:sz w:val="22"/>
        </w:rPr>
        <w:t xml:space="preserve">Intermodal growth: </w:t>
      </w:r>
      <w:r>
        <w:rPr>
          <w:rFonts w:ascii="Calibri" w:hAnsi="Calibri"/>
          <w:color w:val="525866"/>
          <w:sz w:val="22"/>
        </w:rPr>
        <w:t xml:space="preserve">KNX’s intermodal segment grew revenue +34.9% YoY with load count +19.6% and revenue per load +12.8%. Operating ratio improved 470 bps YoY. </w:t>
      </w:r>
      <w:r>
        <w:rPr>
          <w:rFonts w:ascii="Calibri" w:hAnsi="Calibri"/>
          <w:b/>
          <w:color w:val="002FA7"/>
          <w:sz w:val="22"/>
        </w:rPr>
        <w:t xml:space="preserve">Read-through: </w:t>
      </w:r>
      <w:r>
        <w:rPr>
          <w:rFonts w:ascii="Calibri" w:hAnsi="Calibri"/>
          <w:color w:val="525866"/>
          <w:sz w:val="22"/>
        </w:rPr>
        <w:t xml:space="preserve"> Confirms the intermodal demand surge is broad-based across carriers, not just JBHT. UNP benefits as the underlying rail provider for western intermodal lanes.</w:t>
      </w:r>
    </w:p>
    <w:p>
      <w:pPr>
        <w:pStyle w:val="ListBullet"/>
        <w:ind w:left="360" w:hanging="360"/>
      </w:pPr>
      <w:r>
        <w:rPr>
          <w:rFonts w:ascii="Calibri" w:hAnsi="Calibri"/>
          <w:b/>
          <w:color w:val="525866"/>
          <w:sz w:val="22"/>
        </w:rPr>
        <w:t xml:space="preserve">Q3 2026 guidance: </w:t>
      </w:r>
      <w:r>
        <w:rPr>
          <w:rFonts w:ascii="Calibri" w:hAnsi="Calibri"/>
          <w:color w:val="525866"/>
          <w:sz w:val="22"/>
        </w:rPr>
        <w:t xml:space="preserve">KNX guided Q3 2026 adjusted EPS to $0.71–$0.77, implying continued momentum. Truckload business expected to operate in the “high 80s” OR. Fuel expected to be a Q3 headwind. </w:t>
      </w:r>
      <w:r>
        <w:rPr>
          <w:rFonts w:ascii="Calibri" w:hAnsi="Calibri"/>
          <w:b/>
          <w:color w:val="002FA7"/>
          <w:sz w:val="22"/>
        </w:rPr>
        <w:t xml:space="preserve">Read-through: </w:t>
      </w:r>
      <w:r>
        <w:rPr>
          <w:rFonts w:ascii="Calibri" w:hAnsi="Calibri"/>
          <w:color w:val="525866"/>
          <w:sz w:val="22"/>
        </w:rPr>
        <w:t xml:space="preserve"> Positive for UNP’s H2 2026 intermodal outlook; the truck market tightening is expected to persist into Q3 and Q4, supporting continued conversion activity.</w:t>
      </w:r>
    </w:p>
    <w:p>
      <w:pPr>
        <w:pStyle w:val="ListBullet"/>
        <w:ind w:left="360" w:hanging="360"/>
      </w:pPr>
      <w:r>
        <w:rPr>
          <w:rFonts w:ascii="Calibri" w:hAnsi="Calibri"/>
          <w:b/>
          <w:color w:val="525866"/>
          <w:sz w:val="22"/>
        </w:rPr>
        <w:t xml:space="preserve">Modal conversion still early: </w:t>
      </w:r>
      <w:r>
        <w:rPr>
          <w:rFonts w:ascii="Calibri" w:hAnsi="Calibri"/>
          <w:color w:val="525866"/>
          <w:sz w:val="22"/>
        </w:rPr>
        <w:t xml:space="preserve">KNX management noted that while some customers with longer hauls are shifting to intermodal, it is “still relatively small to the amount of freight that’s moving by truck today.” </w:t>
      </w:r>
      <w:r>
        <w:rPr>
          <w:rFonts w:ascii="Calibri" w:hAnsi="Calibri"/>
          <w:b/>
          <w:color w:val="002FA7"/>
          <w:sz w:val="22"/>
        </w:rPr>
        <w:t xml:space="preserve">Read-through: </w:t>
      </w:r>
      <w:r>
        <w:rPr>
          <w:rFonts w:ascii="Calibri" w:hAnsi="Calibri"/>
          <w:color w:val="525866"/>
          <w:sz w:val="22"/>
        </w:rPr>
        <w:t xml:space="preserve"> The conversion opportunity is large and largely untapped — a multi-year runway for UNP’s domestic intermodal growth, not a one-quarter phenomenon.</w:t>
      </w:r>
    </w:p>
    <w:p>
      <w:r>
        <w:rPr>
          <w:rFonts w:ascii="Calibri" w:hAnsi="Calibri"/>
          <w:b/>
          <w:color w:val="525866"/>
          <w:sz w:val="22"/>
        </w:rPr>
        <w:t xml:space="preserve">Peer Commentary Summary: </w:t>
      </w:r>
      <w:r>
        <w:rPr>
          <w:rFonts w:ascii="Calibri" w:hAnsi="Calibri"/>
          <w:color w:val="525866"/>
          <w:sz w:val="22"/>
        </w:rPr>
        <w:t>All three peers reporting Q2 2026 results confirm the same macro narrative — truck capacity is structurally tighter, intermodal conversion is accelerating, and rail demand is at multi-year highs. CSX’s guidance raise is the most direct positive signal for UNP’s ability to affirm or improve its own FY 2026 outlook. The one watch item is service quality under higher volumes (both CSX and JBHT flagged modest service pressure), which could weigh on UNP’s operating ratio if crew availability was similarly constrained in Q2.</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STB’s May 28 acceptance of UNP’s revised NS merger application</w:t>
      </w:r>
      <w:r>
        <w:rPr>
          <w:rFonts w:ascii="Calibri" w:hAnsi="Calibri"/>
          <w:color w:val="525866"/>
          <w:sz w:val="22"/>
        </w:rPr>
        <w:t>, which placed the statutory 12-month review clock in motion (per UNP’s interpretation) and set a defined path toward a mid-2027 decision — a significant de-risking of the merger timeline that the market has partially rewarded.</w:t>
      </w:r>
    </w:p>
    <w:p>
      <w:pPr>
        <w:pStyle w:val="ListBullet"/>
        <w:ind w:left="360" w:hanging="360"/>
      </w:pPr>
      <w:r>
        <w:rPr>
          <w:rFonts w:ascii="Calibri" w:hAnsi="Calibri"/>
          <w:b/>
          <w:color w:val="525866"/>
          <w:sz w:val="22"/>
        </w:rPr>
        <w:t xml:space="preserve">May 28, 2026 — STB Accepts Revised NS Merger Application: </w:t>
      </w:r>
      <w:r>
        <w:rPr>
          <w:rFonts w:ascii="Calibri" w:hAnsi="Calibri"/>
          <w:color w:val="525866"/>
          <w:sz w:val="22"/>
        </w:rPr>
        <w:t xml:space="preserve">The Surface Transportation Board formally accepted UNP’s revised merger application (filed April 30 using complete 100% waybill data from all Class I railroads) and placed proceedings in abeyance pending supplemental information due July 27, 2026. UNP management interprets the 12-month statutory review clock as having started from the May 28 acceptance date, with an additional 90-day window for the final decision thereafter — implying a mid-2027 approval timeline. </w:t>
      </w:r>
      <w:r>
        <w:rPr>
          <w:rFonts w:ascii="Calibri" w:hAnsi="Calibri"/>
          <w:b/>
          <w:color w:val="525866"/>
          <w:sz w:val="22"/>
        </w:rPr>
        <w:t xml:space="preserve">Implication: </w:t>
      </w:r>
      <w:r>
        <w:rPr>
          <w:rFonts w:ascii="Calibri" w:hAnsi="Calibri"/>
          <w:color w:val="525866"/>
          <w:sz w:val="22"/>
        </w:rPr>
        <w:t xml:space="preserve"> Positive — the merger is now on a defined statutory timeline. UNP is submitting supplemental information in two batches (early July and by July 27), and management has expressed continued high conviction in the merger’s public interest case. Watch for any STB commentary on the supplemental filing at tomorrow’s earnings call.</w:t>
      </w:r>
    </w:p>
    <w:p>
      <w:pPr>
        <w:pStyle w:val="ListBullet"/>
        <w:ind w:left="360" w:hanging="360"/>
      </w:pPr>
      <w:r>
        <w:rPr>
          <w:rFonts w:ascii="Calibri" w:hAnsi="Calibri"/>
          <w:b/>
          <w:color w:val="525866"/>
          <w:sz w:val="22"/>
        </w:rPr>
        <w:t xml:space="preserve">May 18, 2026 — Annual Meeting: All Proposals Approved: </w:t>
      </w:r>
      <w:r>
        <w:rPr>
          <w:rFonts w:ascii="Calibri" w:hAnsi="Calibri"/>
          <w:color w:val="525866"/>
          <w:sz w:val="22"/>
        </w:rPr>
        <w:t xml:space="preserve">UNP shareholders approved all proposals at the annual meeting, including board elections and executive compensation. No activist opposition or notable dissent. </w:t>
      </w:r>
      <w:r>
        <w:rPr>
          <w:rFonts w:ascii="Calibri" w:hAnsi="Calibri"/>
          <w:b/>
          <w:color w:val="525866"/>
          <w:sz w:val="22"/>
        </w:rPr>
        <w:t xml:space="preserve">Implication: </w:t>
      </w:r>
      <w:r>
        <w:rPr>
          <w:rFonts w:ascii="Calibri" w:hAnsi="Calibri"/>
          <w:color w:val="525866"/>
          <w:sz w:val="22"/>
        </w:rPr>
        <w:t xml:space="preserve"> Neutral — routine governance event; confirms shareholder alignment with current management strategy.</w:t>
      </w:r>
    </w:p>
    <w:p>
      <w:pPr>
        <w:pStyle w:val="ListBullet"/>
        <w:ind w:left="360" w:hanging="360"/>
      </w:pPr>
      <w:r>
        <w:rPr>
          <w:rFonts w:ascii="Calibri" w:hAnsi="Calibri"/>
          <w:b/>
          <w:color w:val="525866"/>
          <w:sz w:val="22"/>
        </w:rPr>
        <w:t xml:space="preserve">May 13–14, 2026 — CEO/CFO at Wolfe Research &amp; RBC Conferences: </w:t>
      </w:r>
      <w:r>
        <w:rPr>
          <w:rFonts w:ascii="Calibri" w:hAnsi="Calibri"/>
          <w:color w:val="525866"/>
          <w:sz w:val="22"/>
        </w:rPr>
        <w:t xml:space="preserve">CEO Jim Vena and CFO Jennifer Hamann presented at the Wolfe Research 19th Annual Global Transportation &amp; Industrials Conference (May 13) and the RBC Canadian Industrials Conference (May 14). No formal guidance changes were issued at these events. </w:t>
      </w:r>
      <w:r>
        <w:rPr>
          <w:rFonts w:ascii="Calibri" w:hAnsi="Calibri"/>
          <w:b/>
          <w:color w:val="525866"/>
          <w:sz w:val="22"/>
        </w:rPr>
        <w:t xml:space="preserve">Implication: </w:t>
      </w:r>
      <w:r>
        <w:rPr>
          <w:rFonts w:ascii="Calibri" w:hAnsi="Calibri"/>
          <w:color w:val="525866"/>
          <w:sz w:val="22"/>
        </w:rPr>
        <w:t xml:space="preserve"> Neutral to slightly positive — management’s willingness to engage at investor conferences signals confidence in the current trajectory. Any incremental commentary on Q2 volumes or merger progress from these events would have been a positive signal.</w:t>
      </w:r>
    </w:p>
    <w:p>
      <w:pPr>
        <w:pStyle w:val="ListBullet"/>
        <w:ind w:left="360" w:hanging="360"/>
      </w:pPr>
      <w:r>
        <w:rPr>
          <w:rFonts w:ascii="Calibri" w:hAnsi="Calibri"/>
          <w:b/>
          <w:color w:val="525866"/>
          <w:sz w:val="22"/>
        </w:rPr>
        <w:t xml:space="preserve">April 23, 2026 — Q1 2026 Earnings Beat: </w:t>
      </w:r>
      <w:r>
        <w:rPr>
          <w:rFonts w:ascii="Calibri" w:hAnsi="Calibri"/>
          <w:color w:val="525866"/>
          <w:sz w:val="22"/>
        </w:rPr>
        <w:t xml:space="preserve">UNP reported record Q1 operating income, net income, and all six key efficiency metrics. Adjusted EPS of $2.93 beat consensus of $2.86 by $0.07 (+2.4%). Revenue of $6.22B beat estimates. Full-year guidance affirmed. Stock surged +8.8% on the day. </w:t>
      </w:r>
      <w:r>
        <w:rPr>
          <w:rFonts w:ascii="Calibri" w:hAnsi="Calibri"/>
          <w:b/>
          <w:color w:val="525866"/>
          <w:sz w:val="22"/>
        </w:rPr>
        <w:t xml:space="preserve">Implication: </w:t>
      </w:r>
      <w:r>
        <w:rPr>
          <w:rFonts w:ascii="Calibri" w:hAnsi="Calibri"/>
          <w:color w:val="525866"/>
          <w:sz w:val="22"/>
        </w:rPr>
        <w:t xml:space="preserve"> The Q1 beat set a high bar for Q2 and established the positive momentum narrative that has driven the stock’s 17% outperformance since earnings.</w:t>
      </w:r>
    </w:p>
    <w:p>
      <w:pPr>
        <w:pStyle w:val="ListBullet"/>
        <w:ind w:left="360" w:hanging="360"/>
      </w:pPr>
      <w:r>
        <w:rPr>
          <w:rFonts w:ascii="Calibri" w:hAnsi="Calibri"/>
          <w:b/>
          <w:color w:val="525866"/>
          <w:sz w:val="22"/>
        </w:rPr>
        <w:t xml:space="preserve">July 22, 2026 — CSX Q2 2026 Earnings (Peer Read-Through): </w:t>
      </w:r>
      <w:r>
        <w:rPr>
          <w:rFonts w:ascii="Calibri" w:hAnsi="Calibri"/>
          <w:color w:val="525866"/>
          <w:sz w:val="22"/>
        </w:rPr>
        <w:t xml:space="preserve">CSX reported record Q2 revenue (+10% YoY) and raised FY 2026 guidance to mid-to-high single-digit revenue growth with &gt;350 bps margin expansion. </w:t>
      </w:r>
      <w:r>
        <w:rPr>
          <w:rFonts w:ascii="Calibri" w:hAnsi="Calibri"/>
          <w:b/>
          <w:color w:val="525866"/>
          <w:sz w:val="22"/>
        </w:rPr>
        <w:t xml:space="preserve">Implication: </w:t>
      </w:r>
      <w:r>
        <w:rPr>
          <w:rFonts w:ascii="Calibri" w:hAnsi="Calibri"/>
          <w:color w:val="525866"/>
          <w:sz w:val="22"/>
        </w:rPr>
        <w:t xml:space="preserve"> Strong positive read-through for UNP’s Q2 volumes and pricing; the guidance raise from the first Class I to report increases the probability that UNP affirms or raises its own FY 2026 outlook tomorrow.</w:t>
      </w:r>
    </w:p>
    <w:p>
      <w:pPr>
        <w:pStyle w:val="ListBullet"/>
        <w:ind w:left="360" w:hanging="360"/>
      </w:pPr>
      <w:r>
        <w:rPr>
          <w:rFonts w:ascii="Calibri" w:hAnsi="Calibri"/>
          <w:b/>
          <w:color w:val="525866"/>
          <w:sz w:val="22"/>
        </w:rPr>
        <w:t xml:space="preserve">July 15, 2026 — JBHT Q2 2026 Earnings (Peer Read-Through): </w:t>
      </w:r>
      <w:r>
        <w:rPr>
          <w:rFonts w:ascii="Calibri" w:hAnsi="Calibri"/>
          <w:color w:val="525866"/>
          <w:sz w:val="22"/>
        </w:rPr>
        <w:t xml:space="preserve">JBHT set a quarterly intermodal volume record (578K+ loads, +10% YoY) and reported total revenue +19%, operating income +32%, EPS +45%. Called intermodal’s value proposition the strongest in over a decade. </w:t>
      </w:r>
      <w:r>
        <w:rPr>
          <w:rFonts w:ascii="Calibri" w:hAnsi="Calibri"/>
          <w:b/>
          <w:color w:val="525866"/>
          <w:sz w:val="22"/>
        </w:rPr>
        <w:t xml:space="preserve">Implication: </w:t>
      </w:r>
      <w:r>
        <w:rPr>
          <w:rFonts w:ascii="Calibri" w:hAnsi="Calibri"/>
          <w:color w:val="525866"/>
          <w:sz w:val="22"/>
        </w:rPr>
        <w:t xml:space="preserve"> Direct positive read-through for UNP’s domestic intermodal volumes in Q2 2026, given JBHT’s JBI segment runs on UNP’s western network.</w:t>
      </w:r>
    </w:p>
    <w:p>
      <w:pPr>
        <w:pStyle w:val="ListBullet"/>
        <w:ind w:left="360" w:hanging="360"/>
      </w:pPr>
      <w:r>
        <w:rPr>
          <w:rFonts w:ascii="Calibri" w:hAnsi="Calibri"/>
          <w:b/>
          <w:color w:val="525866"/>
          <w:sz w:val="22"/>
        </w:rPr>
        <w:t xml:space="preserve">Ongoing — NS Merger Concessions Stance: </w:t>
      </w:r>
      <w:r>
        <w:rPr>
          <w:rFonts w:ascii="Calibri" w:hAnsi="Calibri"/>
          <w:color w:val="525866"/>
          <w:sz w:val="22"/>
        </w:rPr>
        <w:t xml:space="preserve">Management has escalated its characterization of expected concessions to “effectively zero,” with the TRRA terminal divestiture described as the only financial impact and characterized as negligible. Management expressed willingness to walk away if the deal is not additive. </w:t>
      </w:r>
      <w:r>
        <w:rPr>
          <w:rFonts w:ascii="Calibri" w:hAnsi="Calibri"/>
          <w:b/>
          <w:color w:val="525866"/>
          <w:sz w:val="22"/>
        </w:rPr>
        <w:t xml:space="preserve">Implication: </w:t>
      </w:r>
      <w:r>
        <w:rPr>
          <w:rFonts w:ascii="Calibri" w:hAnsi="Calibri"/>
          <w:color w:val="525866"/>
          <w:sz w:val="22"/>
        </w:rPr>
        <w:t xml:space="preserve"> Positive for deal economics if approved; risk factor if STB requires more substantial concessions than management currently anticipates.</w:t>
      </w:r>
    </w:p>
    <w:p>
      <w:pPr>
        <w:pStyle w:val="ListBullet"/>
        <w:ind w:left="360" w:hanging="360"/>
      </w:pPr>
      <w:r>
        <w:rPr>
          <w:rFonts w:ascii="Calibri" w:hAnsi="Calibri"/>
          <w:b/>
          <w:color w:val="525866"/>
          <w:sz w:val="22"/>
        </w:rPr>
        <w:t xml:space="preserve">Ongoing — Truck Capacity Structural Tightening: </w:t>
      </w:r>
      <w:r>
        <w:rPr>
          <w:rFonts w:ascii="Calibri" w:hAnsi="Calibri"/>
          <w:color w:val="525866"/>
          <w:sz w:val="22"/>
        </w:rPr>
        <w:t xml:space="preserve">FMCSA/DOT enforcement actions (CDL crackdowns, cabotage prevention), the Montgomery Supreme Court ruling on broker liability, and driver market tightening are creating structural — not cyclical — truck capacity constraints. KNX and JBHT both characterized this as a multi-year phenomenon. </w:t>
      </w:r>
      <w:r>
        <w:rPr>
          <w:rFonts w:ascii="Calibri" w:hAnsi="Calibri"/>
          <w:b/>
          <w:color w:val="525866"/>
          <w:sz w:val="22"/>
        </w:rPr>
        <w:t xml:space="preserve">Implication: </w:t>
      </w:r>
      <w:r>
        <w:rPr>
          <w:rFonts w:ascii="Calibri" w:hAnsi="Calibri"/>
          <w:color w:val="525866"/>
          <w:sz w:val="22"/>
        </w:rPr>
        <w:t xml:space="preserve"> Multi-quarter tailwind for UNP’s domestic intermodal conversion opportunity; supports the case for sustained volume growth beyond Q2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