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Union Pacific Corporation (UNP)</w:t>
      </w:r>
    </w:p>
    <w:p>
      <w:pPr>
        <w:pStyle w:val="Heading2"/>
      </w:pPr>
      <w:r>
        <w:rPr>
          <w:rFonts w:ascii="Calibri" w:hAnsi="Calibri"/>
          <w:b/>
          <w:color w:val="3B4259"/>
          <w:sz w:val="28"/>
        </w:rPr>
        <w:t>Q2 2026 Earnings Preview</w:t>
      </w:r>
    </w:p>
    <w:p>
      <w:r>
        <w:rPr>
          <w:rFonts w:ascii="Calibri" w:hAnsi="Calibri"/>
          <w:b/>
          <w:color w:val="525866"/>
          <w:sz w:val="22"/>
        </w:rPr>
        <w:t xml:space="preserve">Earnings Date: </w:t>
      </w:r>
      <w:r>
        <w:rPr>
          <w:rFonts w:ascii="Calibri" w:hAnsi="Calibri"/>
          <w:color w:val="525866"/>
          <w:sz w:val="22"/>
        </w:rPr>
        <w:t xml:space="preserve">July 23, 2026  </w:t>
      </w:r>
      <w:r>
        <w:rPr>
          <w:rFonts w:ascii="Calibri" w:hAnsi="Calibri"/>
          <w:b/>
          <w:color w:val="525866"/>
          <w:sz w:val="22"/>
        </w:rPr>
        <w:t xml:space="preserve">  |  Prepared: </w:t>
      </w:r>
      <w:r>
        <w:rPr>
          <w:rFonts w:ascii="Calibri" w:hAnsi="Calibri"/>
          <w:color w:val="525866"/>
          <w:sz w:val="22"/>
        </w:rPr>
        <w:t xml:space="preserve">July 22, 2026  </w:t>
      </w:r>
      <w:r>
        <w:rPr>
          <w:rFonts w:ascii="Calibri" w:hAnsi="Calibri"/>
          <w:b/>
          <w:color w:val="525866"/>
          <w:sz w:val="22"/>
        </w:rPr>
        <w:t xml:space="preserve">  |  Reporting Period: </w:t>
      </w:r>
      <w:r>
        <w:rPr>
          <w:rFonts w:ascii="Calibri" w:hAnsi="Calibri"/>
          <w:color w:val="525866"/>
          <w:sz w:val="22"/>
        </w:rPr>
        <w:t xml:space="preserve">Q2 2026 (quarter ended June 30, 2026)  </w:t>
      </w:r>
      <w:r>
        <w:rPr>
          <w:rFonts w:ascii="Calibri" w:hAnsi="Calibri"/>
          <w:b/>
          <w:color w:val="525866"/>
          <w:sz w:val="22"/>
        </w:rPr>
        <w:t xml:space="preserve">  |  Sector ETF Reference: </w:t>
      </w:r>
      <w:r>
        <w:rPr>
          <w:rFonts w:ascii="Calibri" w:hAnsi="Calibri"/>
          <w:color w:val="525866"/>
          <w:sz w:val="22"/>
        </w:rPr>
        <w:t>IYT (iShares Transportation Average ETF)</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 the bar is achievable and the biggest swing factor is whether fuel headwinds and coal weakness are offset by intermodal and industrial volume upside, with the NS merger timeline providing an asymmetric wildcard.</w:t>
      </w:r>
    </w:p>
    <w:p>
      <w:r>
        <w:rPr>
          <w:rFonts w:ascii="Calibri" w:hAnsi="Calibri"/>
          <w:color w:val="525866"/>
          <w:sz w:val="22"/>
        </w:rPr>
        <w:t xml:space="preserve">Heading into Q2 2026 earnings, consensus sits at </w:t>
      </w:r>
      <w:r>
        <w:rPr>
          <w:rFonts w:ascii="Calibri" w:hAnsi="Calibri"/>
          <w:b/>
          <w:color w:val="525866"/>
          <w:sz w:val="22"/>
        </w:rPr>
        <w:t>$3.23 operating EPS</w:t>
      </w:r>
      <w:r>
        <w:rPr>
          <w:rFonts w:ascii="Calibri" w:hAnsi="Calibri"/>
          <w:color w:val="525866"/>
          <w:sz w:val="22"/>
        </w:rPr>
        <w:t xml:space="preserve"> and </w:t>
      </w:r>
      <w:r>
        <w:rPr>
          <w:rFonts w:ascii="Calibri" w:hAnsi="Calibri"/>
          <w:b/>
          <w:color w:val="525866"/>
          <w:sz w:val="22"/>
        </w:rPr>
        <w:t>$6.70B in revenue</w:t>
      </w:r>
      <w:r>
        <w:rPr>
          <w:rFonts w:ascii="Calibri" w:hAnsi="Calibri"/>
          <w:color w:val="525866"/>
          <w:sz w:val="22"/>
        </w:rPr>
        <w:t xml:space="preserve"> — a bar that looks achievable but not easy given the fuel and coal headwinds management flagged at Q1. The company entered the quarter with volumes running approximately </w:t>
      </w:r>
      <w:r>
        <w:rPr>
          <w:rFonts w:ascii="Calibri" w:hAnsi="Calibri"/>
          <w:b/>
          <w:color w:val="525866"/>
          <w:sz w:val="22"/>
        </w:rPr>
        <w:t>168,000 railcars per week vs. 162,000 a year ago</w:t>
      </w:r>
      <w:r>
        <w:rPr>
          <w:rFonts w:ascii="Calibri" w:hAnsi="Calibri"/>
          <w:color w:val="525866"/>
          <w:sz w:val="22"/>
        </w:rPr>
        <w:t xml:space="preserve"> (per CEO Jim Vena at the May 21 RBC conference), and CFO Jennifer Hamann confirmed at the May 20 Wolfe conference that quarter-to-date volumes were </w:t>
      </w:r>
      <w:r>
        <w:rPr>
          <w:rFonts w:ascii="Calibri" w:hAnsi="Calibri"/>
          <w:b/>
          <w:color w:val="525866"/>
          <w:sz w:val="22"/>
        </w:rPr>
        <w:t>up ~1%</w:t>
      </w:r>
      <w:r>
        <w:rPr>
          <w:rFonts w:ascii="Calibri" w:hAnsi="Calibri"/>
          <w:color w:val="525866"/>
          <w:sz w:val="22"/>
        </w:rPr>
        <w:t xml:space="preserve"> overall, with industrial chemicals and plastics up ~6% and metals/minerals up ~5%, partially offset by coal down ~14% YoY and international intermodal still under pressure. Fuel was the most explicit headwind flagged by management — diesel was running </w:t>
      </w:r>
      <w:r>
        <w:rPr>
          <w:rFonts w:ascii="Calibri" w:hAnsi="Calibri"/>
          <w:b/>
          <w:color w:val="525866"/>
          <w:sz w:val="22"/>
        </w:rPr>
        <w:t>$4.00–$4.25/gallon in April–May</w:t>
      </w:r>
      <w:r>
        <w:rPr>
          <w:rFonts w:ascii="Calibri" w:hAnsi="Calibri"/>
          <w:color w:val="525866"/>
          <w:sz w:val="22"/>
        </w:rPr>
        <w:t xml:space="preserve"> vs. the original $2.35/gallon full-year estimate, creating a meaningful operating ratio drag; however, CSX's Q2 print (reported today, July 22) showed that fuel surcharge revenue more than offset the cost headwind at the revenue line, and JBHT's record intermodal quarter (+10% YoY) confirms the truck-to-rail conversion tailwind is real and accelerating. The stock has </w:t>
      </w:r>
      <w:r>
        <w:rPr>
          <w:rFonts w:ascii="Calibri" w:hAnsi="Calibri"/>
          <w:b/>
          <w:color w:val="525866"/>
          <w:sz w:val="22"/>
        </w:rPr>
        <w:t>rallied ~8% since Q1 earnings</w:t>
      </w:r>
      <w:r>
        <w:rPr>
          <w:rFonts w:ascii="Calibri" w:hAnsi="Calibri"/>
          <w:color w:val="525866"/>
          <w:sz w:val="22"/>
        </w:rPr>
        <w:t xml:space="preserve"> and is up ~31% over six months, with multiple expansion accounting for the majority of the move — the NTM P/E has expanded from ~18.2x to ~22.1x — suggesting the market has already priced in a solid print and some merger optionality. The </w:t>
      </w:r>
      <w:r>
        <w:rPr>
          <w:rFonts w:ascii="Calibri" w:hAnsi="Calibri"/>
          <w:b/>
          <w:color w:val="525866"/>
          <w:sz w:val="22"/>
        </w:rPr>
        <w:t>wildcard</w:t>
      </w:r>
      <w:r>
        <w:rPr>
          <w:rFonts w:ascii="Calibri" w:hAnsi="Calibri"/>
          <w:color w:val="525866"/>
          <w:sz w:val="22"/>
        </w:rPr>
        <w:t xml:space="preserve"> is the NS merger: the STB accepted the revised application on May 28 and placed proceedings in abeyance pending supplemental information due July 27 — just four days after this earnings call — and any commentary on the timeline, concessions, or regulatory posture could move the stock more than the underlying operating results.</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revenue of $6.70B represents a </w:t>
      </w:r>
      <w:r>
        <w:rPr>
          <w:rFonts w:ascii="Calibri" w:hAnsi="Calibri"/>
          <w:b/>
          <w:color w:val="525866"/>
          <w:sz w:val="22"/>
        </w:rPr>
        <w:t>high bar relative to Q1 run-rate</w:t>
      </w:r>
      <w:r>
        <w:rPr>
          <w:rFonts w:ascii="Calibri" w:hAnsi="Calibri"/>
          <w:color w:val="525866"/>
          <w:sz w:val="22"/>
        </w:rPr>
        <w:t xml:space="preserve"> and implies meaningful sequential acceleration; operating ratio is the bigger swing factor, with fuel and coal mix creating downside risk to the ~59.2% consensus estimate.</w:t>
      </w:r>
    </w:p>
    <w:p>
      <w:pPr>
        <w:pStyle w:val="Heading3"/>
      </w:pPr>
      <w:r>
        <w:rPr>
          <w:rFonts w:ascii="Calibri" w:hAnsi="Calibri"/>
          <w:b/>
          <w:color w:val="3B4259"/>
          <w:sz w:val="24"/>
        </w:rPr>
        <w:t>Table 1 — Current Quarter Snapshot (Q2 2026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Guidance (FY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EPS (Diluted)</w:t>
            </w:r>
          </w:p>
        </w:tc>
        <w:tc>
          <w:tcPr>
            <w:tcW w:type="dxa" w:w="1234"/>
          </w:tcPr>
          <w:p>
            <w:r>
              <w:rPr>
                <w:rFonts w:ascii="Calibri" w:hAnsi="Calibri"/>
                <w:sz w:val="22"/>
              </w:rPr>
              <w:t>$2.93</w:t>
            </w:r>
          </w:p>
        </w:tc>
        <w:tc>
          <w:tcPr>
            <w:tcW w:type="dxa" w:w="1234"/>
          </w:tcPr>
          <w:p>
            <w:r>
              <w:rPr>
                <w:rFonts w:ascii="Calibri" w:hAnsi="Calibri"/>
                <w:sz w:val="22"/>
              </w:rPr>
              <w:t>$3.03</w:t>
            </w:r>
          </w:p>
        </w:tc>
        <w:tc>
          <w:tcPr>
            <w:tcW w:type="dxa" w:w="1234"/>
          </w:tcPr>
          <w:p>
            <w:r>
              <w:rPr>
                <w:rFonts w:ascii="Calibri" w:hAnsi="Calibri"/>
                <w:sz w:val="22"/>
              </w:rPr>
              <w:t>$3.23</w:t>
            </w:r>
          </w:p>
        </w:tc>
        <w:tc>
          <w:tcPr>
            <w:tcW w:type="dxa" w:w="1234"/>
          </w:tcPr>
          <w:p>
            <w:r>
              <w:rPr>
                <w:rFonts w:ascii="Calibri" w:hAnsi="Calibri"/>
                <w:sz w:val="22"/>
              </w:rPr>
              <w:t>+6.6%</w:t>
            </w:r>
          </w:p>
        </w:tc>
        <w:tc>
          <w:tcPr>
            <w:tcW w:type="dxa" w:w="1234"/>
          </w:tcPr>
          <w:p>
            <w:r>
              <w:rPr>
                <w:rFonts w:ascii="Calibri" w:hAnsi="Calibri"/>
                <w:sz w:val="22"/>
              </w:rPr>
              <w:t>Mid-single digit reported EPS growth (FY)</w:t>
            </w:r>
          </w:p>
        </w:tc>
        <w:tc>
          <w:tcPr>
            <w:tcW w:type="dxa" w:w="1234"/>
          </w:tcPr>
          <w:p>
            <w:r>
              <w:rPr>
                <w:rFonts w:ascii="Calibri" w:hAnsi="Calibri"/>
                <w:sz w:val="22"/>
              </w:rPr>
              <w:t>FY cons. $12.71 vs. ~$12.50 implied midpoint; ~+1.7% above</w:t>
            </w:r>
          </w:p>
        </w:tc>
      </w:tr>
      <w:tr>
        <w:tc>
          <w:tcPr>
            <w:tcW w:type="dxa" w:w="1234"/>
          </w:tcPr>
          <w:p>
            <w:r>
              <w:rPr>
                <w:rFonts w:ascii="Calibri" w:hAnsi="Calibri"/>
                <w:sz w:val="22"/>
              </w:rPr>
              <w:t>Total Operating Revenue</w:t>
            </w:r>
          </w:p>
        </w:tc>
        <w:tc>
          <w:tcPr>
            <w:tcW w:type="dxa" w:w="1234"/>
          </w:tcPr>
          <w:p>
            <w:r>
              <w:rPr>
                <w:rFonts w:ascii="Calibri" w:hAnsi="Calibri"/>
                <w:sz w:val="22"/>
              </w:rPr>
              <w:t>$6.217B</w:t>
            </w:r>
          </w:p>
        </w:tc>
        <w:tc>
          <w:tcPr>
            <w:tcW w:type="dxa" w:w="1234"/>
          </w:tcPr>
          <w:p>
            <w:r>
              <w:rPr>
                <w:rFonts w:ascii="Calibri" w:hAnsi="Calibri"/>
                <w:sz w:val="22"/>
              </w:rPr>
              <w:t>$6.154B</w:t>
            </w:r>
          </w:p>
        </w:tc>
        <w:tc>
          <w:tcPr>
            <w:tcW w:type="dxa" w:w="1234"/>
          </w:tcPr>
          <w:p>
            <w:r>
              <w:rPr>
                <w:rFonts w:ascii="Calibri" w:hAnsi="Calibri"/>
                <w:sz w:val="22"/>
              </w:rPr>
              <w:t>$6.701B</w:t>
            </w:r>
          </w:p>
        </w:tc>
        <w:tc>
          <w:tcPr>
            <w:tcW w:type="dxa" w:w="1234"/>
          </w:tcPr>
          <w:p>
            <w:r>
              <w:rPr>
                <w:rFonts w:ascii="Calibri" w:hAnsi="Calibri"/>
                <w:sz w:val="22"/>
              </w:rPr>
              <w:t>+8.9%</w:t>
            </w:r>
          </w:p>
        </w:tc>
        <w:tc>
          <w:tcPr>
            <w:tcW w:type="dxa" w:w="1234"/>
          </w:tcPr>
          <w:p>
            <w:r>
              <w:rPr>
                <w:rFonts w:ascii="Calibri" w:hAnsi="Calibri"/>
                <w:sz w:val="22"/>
              </w:rPr>
              <w:t>No explicit revenue guidance</w:t>
            </w:r>
          </w:p>
        </w:tc>
        <w:tc>
          <w:tcPr>
            <w:tcW w:type="dxa" w:w="1234"/>
          </w:tcPr>
          <w:p>
            <w:r>
              <w:rPr>
                <w:rFonts w:ascii="Calibri" w:hAnsi="Calibri"/>
                <w:sz w:val="22"/>
              </w:rPr>
              <w:t>N/A</w:t>
            </w:r>
          </w:p>
        </w:tc>
      </w:tr>
      <w:tr>
        <w:tc>
          <w:tcPr>
            <w:tcW w:type="dxa" w:w="1234"/>
          </w:tcPr>
          <w:p>
            <w:r>
              <w:rPr>
                <w:rFonts w:ascii="Calibri" w:hAnsi="Calibri"/>
                <w:sz w:val="22"/>
              </w:rPr>
              <w:t>Operating Ratio (Adjusted, %)</w:t>
            </w:r>
          </w:p>
        </w:tc>
        <w:tc>
          <w:tcPr>
            <w:tcW w:type="dxa" w:w="1234"/>
          </w:tcPr>
          <w:p>
            <w:r>
              <w:rPr>
                <w:rFonts w:ascii="Calibri" w:hAnsi="Calibri"/>
                <w:sz w:val="22"/>
              </w:rPr>
              <w:t>59.88%</w:t>
            </w:r>
          </w:p>
        </w:tc>
        <w:tc>
          <w:tcPr>
            <w:tcW w:type="dxa" w:w="1234"/>
          </w:tcPr>
          <w:p>
            <w:r>
              <w:rPr>
                <w:rFonts w:ascii="Calibri" w:hAnsi="Calibri"/>
                <w:sz w:val="22"/>
              </w:rPr>
              <w:t>58.08%</w:t>
            </w:r>
          </w:p>
        </w:tc>
        <w:tc>
          <w:tcPr>
            <w:tcW w:type="dxa" w:w="1234"/>
          </w:tcPr>
          <w:p>
            <w:r>
              <w:rPr>
                <w:rFonts w:ascii="Calibri" w:hAnsi="Calibri"/>
                <w:sz w:val="22"/>
              </w:rPr>
              <w:t>59.19%</w:t>
            </w:r>
          </w:p>
        </w:tc>
        <w:tc>
          <w:tcPr>
            <w:tcW w:type="dxa" w:w="1234"/>
          </w:tcPr>
          <w:p>
            <w:r>
              <w:rPr>
                <w:rFonts w:ascii="Calibri" w:hAnsi="Calibri"/>
                <w:sz w:val="22"/>
              </w:rPr>
              <w:t>+111 bps YoY</w:t>
            </w:r>
          </w:p>
        </w:tc>
        <w:tc>
          <w:tcPr>
            <w:tcW w:type="dxa" w:w="1234"/>
          </w:tcPr>
          <w:p>
            <w:r>
              <w:rPr>
                <w:rFonts w:ascii="Calibri" w:hAnsi="Calibri"/>
                <w:sz w:val="22"/>
              </w:rPr>
              <w:t>OR improvement vs. 2025 full-year 59.3% adj.</w:t>
            </w:r>
          </w:p>
        </w:tc>
        <w:tc>
          <w:tcPr>
            <w:tcW w:type="dxa" w:w="1234"/>
          </w:tcPr>
          <w:p>
            <w:r>
              <w:rPr>
                <w:rFonts w:ascii="Calibri" w:hAnsi="Calibri"/>
                <w:sz w:val="22"/>
              </w:rPr>
              <w:t>Consensus implies slight improvement vs. FY guidance; fuel risk to downside</w:t>
            </w:r>
          </w:p>
        </w:tc>
      </w:tr>
      <w:tr>
        <w:tc>
          <w:tcPr>
            <w:tcW w:type="dxa" w:w="1234"/>
          </w:tcPr>
          <w:p>
            <w:r>
              <w:rPr>
                <w:rFonts w:ascii="Calibri" w:hAnsi="Calibri"/>
                <w:sz w:val="22"/>
              </w:rPr>
              <w:t>Total Freight Carloads</w:t>
            </w:r>
          </w:p>
        </w:tc>
        <w:tc>
          <w:tcPr>
            <w:tcW w:type="dxa" w:w="1234"/>
          </w:tcPr>
          <w:p>
            <w:r>
              <w:rPr>
                <w:rFonts w:ascii="Calibri" w:hAnsi="Calibri"/>
                <w:sz w:val="22"/>
              </w:rPr>
              <w:t>2,083K</w:t>
            </w:r>
          </w:p>
        </w:tc>
        <w:tc>
          <w:tcPr>
            <w:tcW w:type="dxa" w:w="1234"/>
          </w:tcPr>
          <w:p>
            <w:r>
              <w:rPr>
                <w:rFonts w:ascii="Calibri" w:hAnsi="Calibri"/>
                <w:sz w:val="22"/>
              </w:rPr>
              <w:t>2,114K</w:t>
            </w:r>
          </w:p>
        </w:tc>
        <w:tc>
          <w:tcPr>
            <w:tcW w:type="dxa" w:w="1234"/>
          </w:tcPr>
          <w:p>
            <w:r>
              <w:rPr>
                <w:rFonts w:ascii="Calibri" w:hAnsi="Calibri"/>
                <w:sz w:val="22"/>
              </w:rPr>
              <w:t>2,166K</w:t>
            </w:r>
          </w:p>
        </w:tc>
        <w:tc>
          <w:tcPr>
            <w:tcW w:type="dxa" w:w="1234"/>
          </w:tcPr>
          <w:p>
            <w:r>
              <w:rPr>
                <w:rFonts w:ascii="Calibri" w:hAnsi="Calibri"/>
                <w:sz w:val="22"/>
              </w:rPr>
              <w:t>+2.5%</w:t>
            </w:r>
          </w:p>
        </w:tc>
        <w:tc>
          <w:tcPr>
            <w:tcW w:type="dxa" w:w="1234"/>
          </w:tcPr>
          <w:p>
            <w:r>
              <w:rPr>
                <w:rFonts w:ascii="Calibri" w:hAnsi="Calibri"/>
                <w:sz w:val="22"/>
              </w:rPr>
              <w:t>Positive volume growth targeted</w:t>
            </w:r>
          </w:p>
        </w:tc>
        <w:tc>
          <w:tcPr>
            <w:tcW w:type="dxa" w:w="1234"/>
          </w:tcPr>
          <w:p>
            <w:r>
              <w:rPr>
                <w:rFonts w:ascii="Calibri" w:hAnsi="Calibri"/>
                <w:sz w:val="22"/>
              </w:rPr>
              <w:t>Consistent with ~1% QTD trend noted at May conferences</w:t>
            </w:r>
          </w:p>
        </w:tc>
      </w:tr>
      <w:tr>
        <w:tc>
          <w:tcPr>
            <w:tcW w:type="dxa" w:w="1234"/>
          </w:tcPr>
          <w:p>
            <w:r>
              <w:rPr>
                <w:rFonts w:ascii="Calibri" w:hAnsi="Calibri"/>
                <w:sz w:val="22"/>
              </w:rPr>
              <w:t>Revenue per Carload (Total)</w:t>
            </w:r>
          </w:p>
        </w:tc>
        <w:tc>
          <w:tcPr>
            <w:tcW w:type="dxa" w:w="1234"/>
          </w:tcPr>
          <w:p>
            <w:r>
              <w:rPr>
                <w:rFonts w:ascii="Calibri" w:hAnsi="Calibri"/>
                <w:sz w:val="22"/>
              </w:rPr>
              <w:t>$2,829</w:t>
            </w:r>
          </w:p>
        </w:tc>
        <w:tc>
          <w:tcPr>
            <w:tcW w:type="dxa" w:w="1234"/>
          </w:tcPr>
          <w:p>
            <w:r>
              <w:rPr>
                <w:rFonts w:ascii="Calibri" w:hAnsi="Calibri"/>
                <w:sz w:val="22"/>
              </w:rPr>
              <w:t>$2,764</w:t>
            </w:r>
          </w:p>
        </w:tc>
        <w:tc>
          <w:tcPr>
            <w:tcW w:type="dxa" w:w="1234"/>
          </w:tcPr>
          <w:p>
            <w:r>
              <w:rPr>
                <w:rFonts w:ascii="Calibri" w:hAnsi="Calibri"/>
                <w:sz w:val="22"/>
              </w:rPr>
              <w:t>$2,939</w:t>
            </w:r>
          </w:p>
        </w:tc>
        <w:tc>
          <w:tcPr>
            <w:tcW w:type="dxa" w:w="1234"/>
          </w:tcPr>
          <w:p>
            <w:r>
              <w:rPr>
                <w:rFonts w:ascii="Calibri" w:hAnsi="Calibri"/>
                <w:sz w:val="22"/>
              </w:rPr>
              <w:t>+6.3%</w:t>
            </w:r>
          </w:p>
        </w:tc>
        <w:tc>
          <w:tcPr>
            <w:tcW w:type="dxa" w:w="1234"/>
          </w:tcPr>
          <w:p>
            <w:r>
              <w:rPr>
                <w:rFonts w:ascii="Calibri" w:hAnsi="Calibri"/>
                <w:sz w:val="22"/>
              </w:rPr>
              <w:t>Pricing dollars to exceed inflation dollars</w:t>
            </w:r>
          </w:p>
        </w:tc>
        <w:tc>
          <w:tcPr>
            <w:tcW w:type="dxa" w:w="1234"/>
          </w:tcPr>
          <w:p>
            <w:r>
              <w:rPr>
                <w:rFonts w:ascii="Calibri" w:hAnsi="Calibri"/>
                <w:sz w:val="22"/>
              </w:rPr>
              <w:t>Fuel surcharge tailwind embedded; core pricing improvement needed</w:t>
            </w:r>
          </w:p>
        </w:tc>
      </w:tr>
    </w:tbl>
    <w:p>
      <w:r>
        <w:rPr>
          <w:rFonts w:ascii="Calibri" w:hAnsi="Calibri"/>
          <w:i/>
          <w:color w:val="525866"/>
          <w:sz w:val="22"/>
        </w:rPr>
        <w:t>Source: Visible Alpha Consensus and Actuals Data. All consensus figures as of July 22, 2026.</w:t>
      </w:r>
    </w:p>
    <w:p>
      <w:pPr>
        <w:pStyle w:val="Heading3"/>
      </w:pPr>
      <w:r>
        <w:rPr>
          <w:rFonts w:ascii="Calibri" w:hAnsi="Calibri"/>
          <w:b/>
          <w:color w:val="3B4259"/>
          <w:sz w:val="24"/>
        </w:rPr>
        <w:t>Table 2 — Beat/Miss History (Last 8 Quarters, Top 2 KPIs: Operating EPS &amp; Total Revenue)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$2.93</w:t>
            </w:r>
          </w:p>
        </w:tc>
        <w:tc>
          <w:tcPr>
            <w:tcW w:type="dxa" w:w="1440"/>
          </w:tcPr>
          <w:p>
            <w:r>
              <w:rPr>
                <w:rFonts w:ascii="Calibri" w:hAnsi="Calibri"/>
                <w:sz w:val="22"/>
              </w:rPr>
              <w:t>$2.86</w:t>
            </w:r>
          </w:p>
        </w:tc>
        <w:tc>
          <w:tcPr>
            <w:tcW w:type="dxa" w:w="1440"/>
          </w:tcPr>
          <w:p>
            <w:r>
              <w:rPr>
                <w:rFonts w:ascii="Calibri" w:hAnsi="Calibri"/>
                <w:b/>
                <w:color w:val="30A46C"/>
                <w:sz w:val="22"/>
              </w:rPr>
              <w:t>+2.4%</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$6.217B</w:t>
            </w:r>
          </w:p>
        </w:tc>
        <w:tc>
          <w:tcPr>
            <w:tcW w:type="dxa" w:w="1440"/>
          </w:tcPr>
          <w:p>
            <w:r>
              <w:rPr>
                <w:rFonts w:ascii="Calibri" w:hAnsi="Calibri"/>
                <w:sz w:val="22"/>
              </w:rPr>
              <w:t>$6.230B</w:t>
            </w:r>
          </w:p>
        </w:tc>
        <w:tc>
          <w:tcPr>
            <w:tcW w:type="dxa" w:w="1440"/>
          </w:tcPr>
          <w:p>
            <w:r>
              <w:rPr>
                <w:rFonts w:ascii="Calibri" w:hAnsi="Calibri"/>
                <w:b/>
                <w:color w:val="E5484D"/>
                <w:sz w:val="22"/>
              </w:rPr>
              <w:t>-0.2%</w:t>
            </w:r>
          </w:p>
        </w:tc>
        <w:tc>
          <w:tcPr>
            <w:tcW w:type="dxa" w:w="1440"/>
          </w:tcPr>
          <w:p>
            <w:r>
              <w:rPr>
                <w:rFonts w:ascii="Calibri" w:hAnsi="Calibri"/>
                <w:sz w:val="22"/>
              </w:rPr>
              <w:t>In-Line</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$2.86</w:t>
            </w:r>
          </w:p>
        </w:tc>
        <w:tc>
          <w:tcPr>
            <w:tcW w:type="dxa" w:w="1440"/>
          </w:tcPr>
          <w:p>
            <w:r>
              <w:rPr>
                <w:rFonts w:ascii="Calibri" w:hAnsi="Calibri"/>
                <w:sz w:val="22"/>
              </w:rPr>
              <w:t>$2.87</w:t>
            </w:r>
          </w:p>
        </w:tc>
        <w:tc>
          <w:tcPr>
            <w:tcW w:type="dxa" w:w="1440"/>
          </w:tcPr>
          <w:p>
            <w:r>
              <w:rPr>
                <w:rFonts w:ascii="Calibri" w:hAnsi="Calibri"/>
                <w:b/>
                <w:color w:val="E5484D"/>
                <w:sz w:val="22"/>
              </w:rPr>
              <w:t>-0.3%</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$6.085B</w:t>
            </w:r>
          </w:p>
        </w:tc>
        <w:tc>
          <w:tcPr>
            <w:tcW w:type="dxa" w:w="1440"/>
          </w:tcPr>
          <w:p>
            <w:r>
              <w:rPr>
                <w:rFonts w:ascii="Calibri" w:hAnsi="Calibri"/>
                <w:sz w:val="22"/>
              </w:rPr>
              <w:t>$6.112B</w:t>
            </w:r>
          </w:p>
        </w:tc>
        <w:tc>
          <w:tcPr>
            <w:tcW w:type="dxa" w:w="1440"/>
          </w:tcPr>
          <w:p>
            <w:r>
              <w:rPr>
                <w:rFonts w:ascii="Calibri" w:hAnsi="Calibri"/>
                <w:b/>
                <w:color w:val="E5484D"/>
                <w:sz w:val="22"/>
              </w:rPr>
              <w:t>-0.4%</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$3.08</w:t>
            </w:r>
          </w:p>
        </w:tc>
        <w:tc>
          <w:tcPr>
            <w:tcW w:type="dxa" w:w="1440"/>
          </w:tcPr>
          <w:p>
            <w:r>
              <w:rPr>
                <w:rFonts w:ascii="Calibri" w:hAnsi="Calibri"/>
                <w:sz w:val="22"/>
              </w:rPr>
              <w:t>$3.00</w:t>
            </w:r>
          </w:p>
        </w:tc>
        <w:tc>
          <w:tcPr>
            <w:tcW w:type="dxa" w:w="1440"/>
          </w:tcPr>
          <w:p>
            <w:r>
              <w:rPr>
                <w:rFonts w:ascii="Calibri" w:hAnsi="Calibri"/>
                <w:b/>
                <w:color w:val="30A46C"/>
                <w:sz w:val="22"/>
              </w:rPr>
              <w:t>+2.7%</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$6.244B</w:t>
            </w:r>
          </w:p>
        </w:tc>
        <w:tc>
          <w:tcPr>
            <w:tcW w:type="dxa" w:w="1440"/>
          </w:tcPr>
          <w:p>
            <w:r>
              <w:rPr>
                <w:rFonts w:ascii="Calibri" w:hAnsi="Calibri"/>
                <w:sz w:val="22"/>
              </w:rPr>
              <w:t>$6.247B</w:t>
            </w:r>
          </w:p>
        </w:tc>
        <w:tc>
          <w:tcPr>
            <w:tcW w:type="dxa" w:w="1440"/>
          </w:tcPr>
          <w:p>
            <w:r>
              <w:rPr>
                <w:rFonts w:ascii="Calibri" w:hAnsi="Calibri"/>
                <w:b/>
                <w:color w:val="E5484D"/>
                <w:sz w:val="22"/>
              </w:rPr>
              <w:t>-0.1%</w:t>
            </w:r>
          </w:p>
        </w:tc>
        <w:tc>
          <w:tcPr>
            <w:tcW w:type="dxa" w:w="1440"/>
          </w:tcPr>
          <w:p>
            <w:r>
              <w:rPr>
                <w:rFonts w:ascii="Calibri" w:hAnsi="Calibri"/>
                <w:sz w:val="22"/>
              </w:rPr>
              <w:t>In-Line</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$3.03</w:t>
            </w:r>
          </w:p>
        </w:tc>
        <w:tc>
          <w:tcPr>
            <w:tcW w:type="dxa" w:w="1440"/>
          </w:tcPr>
          <w:p>
            <w:r>
              <w:rPr>
                <w:rFonts w:ascii="Calibri" w:hAnsi="Calibri"/>
                <w:sz w:val="22"/>
              </w:rPr>
              <w:t>$2.93</w:t>
            </w:r>
          </w:p>
        </w:tc>
        <w:tc>
          <w:tcPr>
            <w:tcW w:type="dxa" w:w="1440"/>
          </w:tcPr>
          <w:p>
            <w:r>
              <w:rPr>
                <w:rFonts w:ascii="Calibri" w:hAnsi="Calibri"/>
                <w:b/>
                <w:color w:val="30A46C"/>
                <w:sz w:val="22"/>
              </w:rPr>
              <w:t>+3.4%</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$6.154B</w:t>
            </w:r>
          </w:p>
        </w:tc>
        <w:tc>
          <w:tcPr>
            <w:tcW w:type="dxa" w:w="1440"/>
          </w:tcPr>
          <w:p>
            <w:r>
              <w:rPr>
                <w:rFonts w:ascii="Calibri" w:hAnsi="Calibri"/>
                <w:sz w:val="22"/>
              </w:rPr>
              <w:t>$6.163B</w:t>
            </w:r>
          </w:p>
        </w:tc>
        <w:tc>
          <w:tcPr>
            <w:tcW w:type="dxa" w:w="1440"/>
          </w:tcPr>
          <w:p>
            <w:r>
              <w:rPr>
                <w:rFonts w:ascii="Calibri" w:hAnsi="Calibri"/>
                <w:b/>
                <w:color w:val="E5484D"/>
                <w:sz w:val="22"/>
              </w:rPr>
              <w:t>-0.1%</w:t>
            </w:r>
          </w:p>
        </w:tc>
        <w:tc>
          <w:tcPr>
            <w:tcW w:type="dxa" w:w="1440"/>
          </w:tcPr>
          <w:p>
            <w:r>
              <w:rPr>
                <w:rFonts w:ascii="Calibri" w:hAnsi="Calibri"/>
                <w:sz w:val="22"/>
              </w:rPr>
              <w:t>In-Line</w:t>
            </w:r>
          </w:p>
        </w:tc>
      </w:tr>
      <w:tr>
        <w:tc>
          <w:tcPr>
            <w:tcW w:type="dxa" w:w="1440"/>
          </w:tcPr>
          <w:p>
            <w:r>
              <w:rPr>
                <w:rFonts w:ascii="Calibri" w:hAnsi="Calibri"/>
                <w:sz w:val="22"/>
              </w:rPr>
              <w:t>Q1 2025</w:t>
            </w:r>
          </w:p>
        </w:tc>
        <w:tc>
          <w:tcPr>
            <w:tcW w:type="dxa" w:w="1440"/>
          </w:tcPr>
          <w:p>
            <w:r>
              <w:rPr>
                <w:rFonts w:ascii="Calibri" w:hAnsi="Calibri"/>
                <w:sz w:val="22"/>
              </w:rPr>
              <w:t>Operating EPS</w:t>
            </w:r>
          </w:p>
        </w:tc>
        <w:tc>
          <w:tcPr>
            <w:tcW w:type="dxa" w:w="1440"/>
          </w:tcPr>
          <w:p>
            <w:r>
              <w:rPr>
                <w:rFonts w:ascii="Calibri" w:hAnsi="Calibri"/>
                <w:sz w:val="22"/>
              </w:rPr>
              <w:t>$2.70</w:t>
            </w:r>
          </w:p>
        </w:tc>
        <w:tc>
          <w:tcPr>
            <w:tcW w:type="dxa" w:w="1440"/>
          </w:tcPr>
          <w:p>
            <w:r>
              <w:rPr>
                <w:rFonts w:ascii="Calibri" w:hAnsi="Calibri"/>
                <w:sz w:val="22"/>
              </w:rPr>
              <w:t>$2.75</w:t>
            </w:r>
          </w:p>
        </w:tc>
        <w:tc>
          <w:tcPr>
            <w:tcW w:type="dxa" w:w="1440"/>
          </w:tcPr>
          <w:p>
            <w:r>
              <w:rPr>
                <w:rFonts w:ascii="Calibri" w:hAnsi="Calibri"/>
                <w:b/>
                <w:color w:val="E5484D"/>
                <w:sz w:val="22"/>
              </w:rPr>
              <w:t>-1.8%</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$6.027B</w:t>
            </w:r>
          </w:p>
        </w:tc>
        <w:tc>
          <w:tcPr>
            <w:tcW w:type="dxa" w:w="1440"/>
          </w:tcPr>
          <w:p>
            <w:r>
              <w:rPr>
                <w:rFonts w:ascii="Calibri" w:hAnsi="Calibri"/>
                <w:sz w:val="22"/>
              </w:rPr>
              <w:t>$6.074B</w:t>
            </w:r>
          </w:p>
        </w:tc>
        <w:tc>
          <w:tcPr>
            <w:tcW w:type="dxa" w:w="1440"/>
          </w:tcPr>
          <w:p>
            <w:r>
              <w:rPr>
                <w:rFonts w:ascii="Calibri" w:hAnsi="Calibri"/>
                <w:b/>
                <w:color w:val="E5484D"/>
                <w:sz w:val="22"/>
              </w:rPr>
              <w:t>-0.8%</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Operating EPS</w:t>
            </w:r>
          </w:p>
        </w:tc>
        <w:tc>
          <w:tcPr>
            <w:tcW w:type="dxa" w:w="1440"/>
          </w:tcPr>
          <w:p>
            <w:r>
              <w:rPr>
                <w:rFonts w:ascii="Calibri" w:hAnsi="Calibri"/>
                <w:sz w:val="22"/>
              </w:rPr>
              <w:t>$2.96</w:t>
            </w:r>
          </w:p>
        </w:tc>
        <w:tc>
          <w:tcPr>
            <w:tcW w:type="dxa" w:w="1440"/>
          </w:tcPr>
          <w:p>
            <w:r>
              <w:rPr>
                <w:rFonts w:ascii="Calibri" w:hAnsi="Calibri"/>
                <w:sz w:val="22"/>
              </w:rPr>
              <w:t>$2.79</w:t>
            </w:r>
          </w:p>
        </w:tc>
        <w:tc>
          <w:tcPr>
            <w:tcW w:type="dxa" w:w="1440"/>
          </w:tcPr>
          <w:p>
            <w:r>
              <w:rPr>
                <w:rFonts w:ascii="Calibri" w:hAnsi="Calibri"/>
                <w:b/>
                <w:color w:val="30A46C"/>
                <w:sz w:val="22"/>
              </w:rPr>
              <w:t>+6.1%</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$6.121B</w:t>
            </w:r>
          </w:p>
        </w:tc>
        <w:tc>
          <w:tcPr>
            <w:tcW w:type="dxa" w:w="1440"/>
          </w:tcPr>
          <w:p>
            <w:r>
              <w:rPr>
                <w:rFonts w:ascii="Calibri" w:hAnsi="Calibri"/>
                <w:sz w:val="22"/>
              </w:rPr>
              <w:t>$6.155B</w:t>
            </w:r>
          </w:p>
        </w:tc>
        <w:tc>
          <w:tcPr>
            <w:tcW w:type="dxa" w:w="1440"/>
          </w:tcPr>
          <w:p>
            <w:r>
              <w:rPr>
                <w:rFonts w:ascii="Calibri" w:hAnsi="Calibri"/>
                <w:b/>
                <w:color w:val="E5484D"/>
                <w:sz w:val="22"/>
              </w:rPr>
              <w:t>-0.6%</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Operating EPS</w:t>
            </w:r>
          </w:p>
        </w:tc>
        <w:tc>
          <w:tcPr>
            <w:tcW w:type="dxa" w:w="1440"/>
          </w:tcPr>
          <w:p>
            <w:r>
              <w:rPr>
                <w:rFonts w:ascii="Calibri" w:hAnsi="Calibri"/>
                <w:sz w:val="22"/>
              </w:rPr>
              <w:t>$2.75</w:t>
            </w:r>
          </w:p>
        </w:tc>
        <w:tc>
          <w:tcPr>
            <w:tcW w:type="dxa" w:w="1440"/>
          </w:tcPr>
          <w:p>
            <w:r>
              <w:rPr>
                <w:rFonts w:ascii="Calibri" w:hAnsi="Calibri"/>
                <w:sz w:val="22"/>
              </w:rPr>
              <w:t>$2.80</w:t>
            </w:r>
          </w:p>
        </w:tc>
        <w:tc>
          <w:tcPr>
            <w:tcW w:type="dxa" w:w="1440"/>
          </w:tcPr>
          <w:p>
            <w:r>
              <w:rPr>
                <w:rFonts w:ascii="Calibri" w:hAnsi="Calibri"/>
                <w:b/>
                <w:color w:val="E5484D"/>
                <w:sz w:val="22"/>
              </w:rPr>
              <w:t>-1.8%</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$6.091B</w:t>
            </w:r>
          </w:p>
        </w:tc>
        <w:tc>
          <w:tcPr>
            <w:tcW w:type="dxa" w:w="1440"/>
          </w:tcPr>
          <w:p>
            <w:r>
              <w:rPr>
                <w:rFonts w:ascii="Calibri" w:hAnsi="Calibri"/>
                <w:sz w:val="22"/>
              </w:rPr>
              <w:t>$6.139B</w:t>
            </w:r>
          </w:p>
        </w:tc>
        <w:tc>
          <w:tcPr>
            <w:tcW w:type="dxa" w:w="1440"/>
          </w:tcPr>
          <w:p>
            <w:r>
              <w:rPr>
                <w:rFonts w:ascii="Calibri" w:hAnsi="Calibri"/>
                <w:b/>
                <w:color w:val="E5484D"/>
                <w:sz w:val="22"/>
              </w:rPr>
              <w:t>-0.8%</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Operating EPS</w:t>
            </w:r>
          </w:p>
        </w:tc>
        <w:tc>
          <w:tcPr>
            <w:tcW w:type="dxa" w:w="1440"/>
          </w:tcPr>
          <w:p>
            <w:r>
              <w:rPr>
                <w:rFonts w:ascii="Calibri" w:hAnsi="Calibri"/>
                <w:sz w:val="22"/>
              </w:rPr>
              <w:t>$2.71</w:t>
            </w:r>
          </w:p>
        </w:tc>
        <w:tc>
          <w:tcPr>
            <w:tcW w:type="dxa" w:w="1440"/>
          </w:tcPr>
          <w:p>
            <w:r>
              <w:rPr>
                <w:rFonts w:ascii="Calibri" w:hAnsi="Calibri"/>
                <w:sz w:val="22"/>
              </w:rPr>
              <w:t>$2.73</w:t>
            </w:r>
          </w:p>
        </w:tc>
        <w:tc>
          <w:tcPr>
            <w:tcW w:type="dxa" w:w="1440"/>
          </w:tcPr>
          <w:p>
            <w:r>
              <w:rPr>
                <w:rFonts w:ascii="Calibri" w:hAnsi="Calibri"/>
                <w:b/>
                <w:color w:val="E5484D"/>
                <w:sz w:val="22"/>
              </w:rPr>
              <w:t>-0.6%</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Total Revenue</w:t>
            </w:r>
          </w:p>
        </w:tc>
        <w:tc>
          <w:tcPr>
            <w:tcW w:type="dxa" w:w="1440"/>
          </w:tcPr>
          <w:p>
            <w:r>
              <w:rPr>
                <w:rFonts w:ascii="Calibri" w:hAnsi="Calibri"/>
                <w:sz w:val="22"/>
              </w:rPr>
              <w:t>$6.007B</w:t>
            </w:r>
          </w:p>
        </w:tc>
        <w:tc>
          <w:tcPr>
            <w:tcW w:type="dxa" w:w="1440"/>
          </w:tcPr>
          <w:p>
            <w:r>
              <w:rPr>
                <w:rFonts w:ascii="Calibri" w:hAnsi="Calibri"/>
                <w:sz w:val="22"/>
              </w:rPr>
              <w:t>$6.068B</w:t>
            </w:r>
          </w:p>
        </w:tc>
        <w:tc>
          <w:tcPr>
            <w:tcW w:type="dxa" w:w="1440"/>
          </w:tcPr>
          <w:p>
            <w:r>
              <w:rPr>
                <w:rFonts w:ascii="Calibri" w:hAnsi="Calibri"/>
                <w:b/>
                <w:color w:val="E5484D"/>
                <w:sz w:val="22"/>
              </w:rPr>
              <w:t>-1.0%</w:t>
            </w:r>
          </w:p>
        </w:tc>
        <w:tc>
          <w:tcPr>
            <w:tcW w:type="dxa" w:w="1440"/>
          </w:tcPr>
          <w:p>
            <w:r>
              <w:rPr>
                <w:rFonts w:ascii="Calibri" w:hAnsi="Calibri"/>
                <w:sz w:val="22"/>
              </w:rPr>
              <w:t>Miss</w:t>
            </w:r>
          </w:p>
        </w:tc>
      </w:tr>
    </w:tbl>
    <w:p>
      <w:r>
        <w:rPr>
          <w:rFonts w:ascii="Calibri" w:hAnsi="Calibri"/>
          <w:b/>
          <w:color w:val="525866"/>
          <w:sz w:val="22"/>
        </w:rPr>
        <w:t xml:space="preserve">Pattern: </w:t>
      </w:r>
      <w:r>
        <w:rPr>
          <w:rFonts w:ascii="Calibri" w:hAnsi="Calibri"/>
          <w:i/>
          <w:color w:val="525866"/>
          <w:sz w:val="22"/>
        </w:rPr>
        <w:t>UNP has beaten operating EPS in 4 of the last 8 quarters but consistently misses or comes in-line on revenue, suggesting cost discipline is the primary lever for upside; the Q1 2026 EPS beat was the largest positive surprise in recent history.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guidance was affirmed at Q1 earnings (mid-single digit reported EPS growth, OR improvement) and has not been formally revised since; tone has shifted </w:t>
      </w:r>
      <w:r>
        <w:rPr>
          <w:rFonts w:ascii="Calibri" w:hAnsi="Calibri"/>
          <w:b/>
          <w:color w:val="525866"/>
          <w:sz w:val="22"/>
        </w:rPr>
        <w:t>more cautious on fuel and coal</w:t>
      </w:r>
      <w:r>
        <w:rPr>
          <w:rFonts w:ascii="Calibri" w:hAnsi="Calibri"/>
          <w:color w:val="525866"/>
          <w:sz w:val="22"/>
        </w:rPr>
        <w:t xml:space="preserve"> but more constructive on intermodal and industrial through May–June conferences.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Reported EPS Growth (FY 2026)</w:t>
            </w:r>
          </w:p>
        </w:tc>
        <w:tc>
          <w:tcPr>
            <w:tcW w:type="dxa" w:w="1728"/>
          </w:tcPr>
          <w:p>
            <w:r>
              <w:rPr>
                <w:rFonts w:ascii="Calibri" w:hAnsi="Calibri"/>
                <w:sz w:val="22"/>
              </w:rPr>
              <w:t>Mid-single digit growth vs. FY 2025 reported</w:t>
            </w:r>
          </w:p>
        </w:tc>
        <w:tc>
          <w:tcPr>
            <w:tcW w:type="dxa" w:w="1728"/>
          </w:tcPr>
          <w:p>
            <w:r>
              <w:rPr>
                <w:rFonts w:ascii="Calibri" w:hAnsi="Calibri"/>
                <w:sz w:val="22"/>
              </w:rPr>
              <w:t>—</w:t>
            </w:r>
          </w:p>
        </w:tc>
        <w:tc>
          <w:tcPr>
            <w:tcW w:type="dxa" w:w="1728"/>
          </w:tcPr>
          <w:p>
            <w:r>
              <w:rPr>
                <w:rFonts w:ascii="Calibri" w:hAnsi="Calibri"/>
                <w:sz w:val="22"/>
              </w:rPr>
              <w:t>$12.71 FY cons. (Visible Alpha)</w:t>
            </w:r>
          </w:p>
        </w:tc>
        <w:tc>
          <w:tcPr>
            <w:tcW w:type="dxa" w:w="1728"/>
          </w:tcPr>
          <w:p>
            <w:r>
              <w:rPr>
                <w:rFonts w:ascii="Calibri" w:hAnsi="Calibri"/>
                <w:sz w:val="22"/>
              </w:rPr>
              <w:t>Unchanged; includes merger cost headwind and no buybacks</w:t>
            </w:r>
          </w:p>
        </w:tc>
      </w:tr>
      <w:tr>
        <w:tc>
          <w:tcPr>
            <w:tcW w:type="dxa" w:w="1728"/>
          </w:tcPr>
          <w:p>
            <w:r>
              <w:rPr>
                <w:rFonts w:ascii="Calibri" w:hAnsi="Calibri"/>
                <w:sz w:val="22"/>
              </w:rPr>
              <w:t>Operating Ratio (FY 2026)</w:t>
            </w:r>
          </w:p>
        </w:tc>
        <w:tc>
          <w:tcPr>
            <w:tcW w:type="dxa" w:w="1728"/>
          </w:tcPr>
          <w:p>
            <w:r>
              <w:rPr>
                <w:rFonts w:ascii="Calibri" w:hAnsi="Calibri"/>
                <w:sz w:val="22"/>
              </w:rPr>
              <w:t>Improvement vs. 2025 adj. OR of 59.3%</w:t>
            </w:r>
          </w:p>
        </w:tc>
        <w:tc>
          <w:tcPr>
            <w:tcW w:type="dxa" w:w="1728"/>
          </w:tcPr>
          <w:p>
            <w:r>
              <w:rPr>
                <w:rFonts w:ascii="Calibri" w:hAnsi="Calibri"/>
                <w:sz w:val="22"/>
              </w:rPr>
              <w:t>—</w:t>
            </w:r>
          </w:p>
        </w:tc>
        <w:tc>
          <w:tcPr>
            <w:tcW w:type="dxa" w:w="1728"/>
          </w:tcPr>
          <w:p>
            <w:r>
              <w:rPr>
                <w:rFonts w:ascii="Calibri" w:hAnsi="Calibri"/>
                <w:sz w:val="22"/>
              </w:rPr>
              <w:t>58.97% FY cons. (Visible Alpha)</w:t>
            </w:r>
          </w:p>
        </w:tc>
        <w:tc>
          <w:tcPr>
            <w:tcW w:type="dxa" w:w="1728"/>
          </w:tcPr>
          <w:p>
            <w:r>
              <w:rPr>
                <w:rFonts w:ascii="Calibri" w:hAnsi="Calibri"/>
                <w:sz w:val="22"/>
              </w:rPr>
              <w:t>Unchanged; fuel headwind flagged as Q2 risk at May conferences</w:t>
            </w:r>
          </w:p>
        </w:tc>
      </w:tr>
      <w:tr>
        <w:tc>
          <w:tcPr>
            <w:tcW w:type="dxa" w:w="1728"/>
          </w:tcPr>
          <w:p>
            <w:r>
              <w:rPr>
                <w:rFonts w:ascii="Calibri" w:hAnsi="Calibri"/>
                <w:sz w:val="22"/>
              </w:rPr>
              <w:t>Diesel Fuel Cost (FY 2026)</w:t>
            </w:r>
          </w:p>
        </w:tc>
        <w:tc>
          <w:tcPr>
            <w:tcW w:type="dxa" w:w="1728"/>
          </w:tcPr>
          <w:p>
            <w:r>
              <w:rPr>
                <w:rFonts w:ascii="Calibri" w:hAnsi="Calibri"/>
                <w:sz w:val="22"/>
              </w:rPr>
              <w:t>$2.35/gallon original estimate (set Jan 2026)</w:t>
            </w:r>
          </w:p>
        </w:tc>
        <w:tc>
          <w:tcPr>
            <w:tcW w:type="dxa" w:w="1728"/>
          </w:tcPr>
          <w:p>
            <w:r>
              <w:rPr>
                <w:rFonts w:ascii="Calibri" w:hAnsi="Calibri"/>
                <w:sz w:val="22"/>
              </w:rPr>
              <w:t>~$4.00–$4.25/gallon actual in Apr–May (flagged at May 20 Wolfe conf.)</w:t>
            </w:r>
          </w:p>
        </w:tc>
        <w:tc>
          <w:tcPr>
            <w:tcW w:type="dxa" w:w="1728"/>
          </w:tcPr>
          <w:p>
            <w:r>
              <w:rPr>
                <w:rFonts w:ascii="Calibri" w:hAnsi="Calibri"/>
                <w:sz w:val="22"/>
              </w:rPr>
              <w:t>N/A — not a consensus KPI</w:t>
            </w:r>
          </w:p>
        </w:tc>
        <w:tc>
          <w:tcPr>
            <w:tcW w:type="dxa" w:w="1728"/>
          </w:tcPr>
          <w:p>
            <w:r>
              <w:rPr>
                <w:rFonts w:ascii="Calibri" w:hAnsi="Calibri"/>
                <w:sz w:val="22"/>
              </w:rPr>
              <w:t>↑ Significant upward revision to actual cost; surcharge recovery partially offsets</w:t>
            </w:r>
          </w:p>
        </w:tc>
      </w:tr>
      <w:tr>
        <w:tc>
          <w:tcPr>
            <w:tcW w:type="dxa" w:w="1728"/>
          </w:tcPr>
          <w:p>
            <w:r>
              <w:rPr>
                <w:rFonts w:ascii="Calibri" w:hAnsi="Calibri"/>
                <w:sz w:val="22"/>
              </w:rPr>
              <w:t>Compensation per Employee (FY 2026)</w:t>
            </w:r>
          </w:p>
        </w:tc>
        <w:tc>
          <w:tcPr>
            <w:tcW w:type="dxa" w:w="1728"/>
          </w:tcPr>
          <w:p>
            <w:r>
              <w:rPr>
                <w:rFonts w:ascii="Calibri" w:hAnsi="Calibri"/>
                <w:sz w:val="22"/>
              </w:rPr>
              <w:t>+4% to +5% YoY</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productivity gains expected to offset inflation</w:t>
            </w:r>
          </w:p>
        </w:tc>
      </w:tr>
      <w:tr>
        <w:tc>
          <w:tcPr>
            <w:tcW w:type="dxa" w:w="1728"/>
          </w:tcPr>
          <w:p>
            <w:r>
              <w:rPr>
                <w:rFonts w:ascii="Calibri" w:hAnsi="Calibri"/>
                <w:sz w:val="22"/>
              </w:rPr>
              <w:t>Long-Term EPS CAGR (through 2027)</w:t>
            </w:r>
          </w:p>
        </w:tc>
        <w:tc>
          <w:tcPr>
            <w:tcW w:type="dxa" w:w="1728"/>
          </w:tcPr>
          <w:p>
            <w:r>
              <w:rPr>
                <w:rFonts w:ascii="Calibri" w:hAnsi="Calibri"/>
                <w:sz w:val="22"/>
              </w:rPr>
              <w:t>High single-digit to low double-digit CAGR</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Explicitly reaffirmed at Q1 earnings; unchanged</w:t>
            </w:r>
          </w:p>
        </w:tc>
      </w:tr>
      <w:tr>
        <w:tc>
          <w:tcPr>
            <w:tcW w:type="dxa" w:w="1728"/>
          </w:tcPr>
          <w:p>
            <w:r>
              <w:rPr>
                <w:rFonts w:ascii="Calibri" w:hAnsi="Calibri"/>
                <w:sz w:val="22"/>
              </w:rPr>
              <w:t>NS Merger Costs (Q2 2026)</w:t>
            </w:r>
          </w:p>
        </w:tc>
        <w:tc>
          <w:tcPr>
            <w:tcW w:type="dxa" w:w="1728"/>
          </w:tcPr>
          <w:p>
            <w:r>
              <w:rPr>
                <w:rFonts w:ascii="Calibri" w:hAnsi="Calibri"/>
                <w:sz w:val="22"/>
              </w:rPr>
              <w:t>Not explicitly guided at Q1 earnings</w:t>
            </w:r>
          </w:p>
        </w:tc>
        <w:tc>
          <w:tcPr>
            <w:tcW w:type="dxa" w:w="1728"/>
          </w:tcPr>
          <w:p>
            <w:r>
              <w:rPr>
                <w:rFonts w:ascii="Calibri" w:hAnsi="Calibri"/>
                <w:sz w:val="22"/>
              </w:rPr>
              <w:t>~$35M in Q2 (flagged at June 16 European Investor Conference)</w:t>
            </w:r>
          </w:p>
        </w:tc>
        <w:tc>
          <w:tcPr>
            <w:tcW w:type="dxa" w:w="1728"/>
          </w:tcPr>
          <w:p>
            <w:r>
              <w:rPr>
                <w:rFonts w:ascii="Calibri" w:hAnsi="Calibri"/>
                <w:sz w:val="22"/>
              </w:rPr>
              <w:t>N/A</w:t>
            </w:r>
          </w:p>
        </w:tc>
        <w:tc>
          <w:tcPr>
            <w:tcW w:type="dxa" w:w="1728"/>
          </w:tcPr>
          <w:p>
            <w:r>
              <w:rPr>
                <w:rFonts w:ascii="Calibri" w:hAnsi="Calibri"/>
                <w:sz w:val="22"/>
              </w:rPr>
              <w:t>↑ Higher than prior thinking due to STB refiling work; headwind to reported EPS</w:t>
            </w:r>
          </w:p>
        </w:tc>
      </w:tr>
    </w:tbl>
    <w:p>
      <w:r>
        <w:rPr>
          <w:rFonts w:ascii="Calibri" w:hAnsi="Calibri"/>
          <w:b/>
          <w:color w:val="525866"/>
          <w:sz w:val="22"/>
        </w:rPr>
        <w:t xml:space="preserve">Tone evolution: </w:t>
      </w:r>
      <w:r>
        <w:rPr>
          <w:rFonts w:ascii="Calibri" w:hAnsi="Calibri"/>
          <w:color w:val="525866"/>
          <w:sz w:val="22"/>
        </w:rPr>
        <w:t>Management's posture has been consistently confident on operations and the merger thesis through May–June conferences, while becoming more candid about pricing lagging service improvements. CEO Vena explicitly stated at the May 20 Wolfe conference: "We don't think we're in the right place with price against what the level of service and what the customers have gained" — a notable acknowledgment that pricing power remains an area requiring improvement heading into the 2027 bid season.</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have </w:t>
      </w:r>
      <w:r>
        <w:rPr>
          <w:rFonts w:ascii="Calibri" w:hAnsi="Calibri"/>
          <w:b/>
          <w:color w:val="525866"/>
          <w:sz w:val="22"/>
        </w:rPr>
        <w:t>moved up meaningfully since Q1 earnings</w:t>
      </w:r>
      <w:r>
        <w:rPr>
          <w:rFonts w:ascii="Calibri" w:hAnsi="Calibri"/>
          <w:color w:val="525866"/>
          <w:sz w:val="22"/>
        </w:rPr>
        <w:t xml:space="preserve"> (+2.8% on EPS, +2.7% on revenue), suggesting the street has grown more constructive on the intermodal/industrial volume story; FY 2026 estimates are also modestly higher, indicating the fuel headwind is being more than offset by volume and surcharge optimism.</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 2026)</w:t>
            </w:r>
          </w:p>
        </w:tc>
        <w:tc>
          <w:tcPr>
            <w:tcW w:type="dxa" w:w="1080"/>
            <w:shd w:val="clear" w:color="auto" w:fill="3B4259"/>
          </w:tcPr>
          <w:p>
            <w:r>
              <w:rPr>
                <w:rFonts w:ascii="Calibri" w:hAnsi="Calibri"/>
                <w:b/>
                <w:color w:val="FFFFFF"/>
                <w:sz w:val="22"/>
              </w:rPr>
              <w:t>Current Consensus (July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$3.14</w:t>
            </w:r>
          </w:p>
        </w:tc>
        <w:tc>
          <w:tcPr>
            <w:tcW w:type="dxa" w:w="1080"/>
          </w:tcPr>
          <w:p>
            <w:r>
              <w:rPr>
                <w:rFonts w:ascii="Calibri" w:hAnsi="Calibri"/>
                <w:sz w:val="22"/>
              </w:rPr>
              <w:t>$3.23</w:t>
            </w:r>
          </w:p>
        </w:tc>
        <w:tc>
          <w:tcPr>
            <w:tcW w:type="dxa" w:w="1080"/>
          </w:tcPr>
          <w:p>
            <w:r>
              <w:rPr>
                <w:rFonts w:ascii="Calibri" w:hAnsi="Calibri"/>
                <w:b/>
                <w:color w:val="30A46C"/>
                <w:sz w:val="22"/>
              </w:rPr>
              <w:t>+2.8%</w:t>
            </w:r>
          </w:p>
        </w:tc>
        <w:tc>
          <w:tcPr>
            <w:tcW w:type="dxa" w:w="1080"/>
          </w:tcPr>
          <w:p>
            <w:r>
              <w:rPr>
                <w:rFonts w:ascii="Calibri" w:hAnsi="Calibri"/>
                <w:sz w:val="22"/>
              </w:rPr>
              <w:t>No explicit Q2 guidance</w:t>
            </w:r>
          </w:p>
        </w:tc>
        <w:tc>
          <w:tcPr>
            <w:tcW w:type="dxa" w:w="1080"/>
          </w:tcPr>
          <w:p>
            <w:r>
              <w:rPr>
                <w:rFonts w:ascii="Calibri" w:hAnsi="Calibri"/>
                <w:sz w:val="22"/>
              </w:rPr>
              <w:t>No explicit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Q2 2026</w:t>
            </w:r>
          </w:p>
        </w:tc>
        <w:tc>
          <w:tcPr>
            <w:tcW w:type="dxa" w:w="1080"/>
          </w:tcPr>
          <w:p>
            <w:r>
              <w:rPr>
                <w:rFonts w:ascii="Calibri" w:hAnsi="Calibri"/>
                <w:sz w:val="22"/>
              </w:rPr>
              <w:t>$6.529B</w:t>
            </w:r>
          </w:p>
        </w:tc>
        <w:tc>
          <w:tcPr>
            <w:tcW w:type="dxa" w:w="1080"/>
          </w:tcPr>
          <w:p>
            <w:r>
              <w:rPr>
                <w:rFonts w:ascii="Calibri" w:hAnsi="Calibri"/>
                <w:sz w:val="22"/>
              </w:rPr>
              <w:t>$6.701B</w:t>
            </w:r>
          </w:p>
        </w:tc>
        <w:tc>
          <w:tcPr>
            <w:tcW w:type="dxa" w:w="1080"/>
          </w:tcPr>
          <w:p>
            <w:r>
              <w:rPr>
                <w:rFonts w:ascii="Calibri" w:hAnsi="Calibri"/>
                <w:b/>
                <w:color w:val="30A46C"/>
                <w:sz w:val="22"/>
              </w:rPr>
              <w:t>+2.6%</w:t>
            </w:r>
          </w:p>
        </w:tc>
        <w:tc>
          <w:tcPr>
            <w:tcW w:type="dxa" w:w="1080"/>
          </w:tcPr>
          <w:p>
            <w:r>
              <w:rPr>
                <w:rFonts w:ascii="Calibri" w:hAnsi="Calibri"/>
                <w:sz w:val="22"/>
              </w:rPr>
              <w:t>No explicit Q2 guidance</w:t>
            </w:r>
          </w:p>
        </w:tc>
        <w:tc>
          <w:tcPr>
            <w:tcW w:type="dxa" w:w="1080"/>
          </w:tcPr>
          <w:p>
            <w:r>
              <w:rPr>
                <w:rFonts w:ascii="Calibri" w:hAnsi="Calibri"/>
                <w:sz w:val="22"/>
              </w:rPr>
              <w:t>No explicit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Ratio — Q2 2026</w:t>
            </w:r>
          </w:p>
        </w:tc>
        <w:tc>
          <w:tcPr>
            <w:tcW w:type="dxa" w:w="1080"/>
          </w:tcPr>
          <w:p>
            <w:r>
              <w:rPr>
                <w:rFonts w:ascii="Calibri" w:hAnsi="Calibri"/>
                <w:sz w:val="22"/>
              </w:rPr>
              <w:t>59.10%</w:t>
            </w:r>
          </w:p>
        </w:tc>
        <w:tc>
          <w:tcPr>
            <w:tcW w:type="dxa" w:w="1080"/>
          </w:tcPr>
          <w:p>
            <w:r>
              <w:rPr>
                <w:rFonts w:ascii="Calibri" w:hAnsi="Calibri"/>
                <w:sz w:val="22"/>
              </w:rPr>
              <w:t>59.19%</w:t>
            </w:r>
          </w:p>
        </w:tc>
        <w:tc>
          <w:tcPr>
            <w:tcW w:type="dxa" w:w="1080"/>
          </w:tcPr>
          <w:p>
            <w:r>
              <w:rPr>
                <w:rFonts w:ascii="Calibri" w:hAnsi="Calibri"/>
                <w:b/>
                <w:color w:val="E5484D"/>
                <w:sz w:val="22"/>
              </w:rPr>
              <w:t>+9 bps</w:t>
            </w:r>
          </w:p>
        </w:tc>
        <w:tc>
          <w:tcPr>
            <w:tcW w:type="dxa" w:w="1080"/>
          </w:tcPr>
          <w:p>
            <w:r>
              <w:rPr>
                <w:rFonts w:ascii="Calibri" w:hAnsi="Calibri"/>
                <w:sz w:val="22"/>
              </w:rPr>
              <w:t>No explicit Q2 guidance</w:t>
            </w:r>
          </w:p>
        </w:tc>
        <w:tc>
          <w:tcPr>
            <w:tcW w:type="dxa" w:w="1080"/>
          </w:tcPr>
          <w:p>
            <w:r>
              <w:rPr>
                <w:rFonts w:ascii="Calibri" w:hAnsi="Calibri"/>
                <w:sz w:val="22"/>
              </w:rPr>
              <w:t>No explicit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 2026</w:t>
            </w:r>
          </w:p>
        </w:tc>
        <w:tc>
          <w:tcPr>
            <w:tcW w:type="dxa" w:w="1080"/>
          </w:tcPr>
          <w:p>
            <w:r>
              <w:rPr>
                <w:rFonts w:ascii="Calibri" w:hAnsi="Calibri"/>
                <w:sz w:val="22"/>
              </w:rPr>
              <w:t>$12.58</w:t>
            </w:r>
          </w:p>
        </w:tc>
        <w:tc>
          <w:tcPr>
            <w:tcW w:type="dxa" w:w="1080"/>
          </w:tcPr>
          <w:p>
            <w:r>
              <w:rPr>
                <w:rFonts w:ascii="Calibri" w:hAnsi="Calibri"/>
                <w:sz w:val="22"/>
              </w:rPr>
              <w:t>$12.71</w:t>
            </w:r>
          </w:p>
        </w:tc>
        <w:tc>
          <w:tcPr>
            <w:tcW w:type="dxa" w:w="1080"/>
          </w:tcPr>
          <w:p>
            <w:r>
              <w:rPr>
                <w:rFonts w:ascii="Calibri" w:hAnsi="Calibri"/>
                <w:b/>
                <w:color w:val="30A46C"/>
                <w:sz w:val="22"/>
              </w:rPr>
              <w:t>+1.0%</w:t>
            </w:r>
          </w:p>
        </w:tc>
        <w:tc>
          <w:tcPr>
            <w:tcW w:type="dxa" w:w="1080"/>
          </w:tcPr>
          <w:p>
            <w:r>
              <w:rPr>
                <w:rFonts w:ascii="Calibri" w:hAnsi="Calibri"/>
                <w:sz w:val="22"/>
              </w:rPr>
              <w:t>Mid-single digit reported EPS growth</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Cons. ~$12.71 vs. ~$12.50 implied midpoint; ~+1.7% above</w:t>
            </w:r>
          </w:p>
        </w:tc>
      </w:tr>
      <w:tr>
        <w:tc>
          <w:tcPr>
            <w:tcW w:type="dxa" w:w="1080"/>
          </w:tcPr>
          <w:p>
            <w:r>
              <w:rPr>
                <w:rFonts w:ascii="Calibri" w:hAnsi="Calibri"/>
                <w:sz w:val="22"/>
              </w:rPr>
              <w:t>Total Revenue — FY 2026</w:t>
            </w:r>
          </w:p>
        </w:tc>
        <w:tc>
          <w:tcPr>
            <w:tcW w:type="dxa" w:w="1080"/>
          </w:tcPr>
          <w:p>
            <w:r>
              <w:rPr>
                <w:rFonts w:ascii="Calibri" w:hAnsi="Calibri"/>
                <w:sz w:val="22"/>
              </w:rPr>
              <w:t>$25.91B</w:t>
            </w:r>
          </w:p>
        </w:tc>
        <w:tc>
          <w:tcPr>
            <w:tcW w:type="dxa" w:w="1080"/>
          </w:tcPr>
          <w:p>
            <w:r>
              <w:rPr>
                <w:rFonts w:ascii="Calibri" w:hAnsi="Calibri"/>
                <w:sz w:val="22"/>
              </w:rPr>
              <w:t>$26.23B</w:t>
            </w:r>
          </w:p>
        </w:tc>
        <w:tc>
          <w:tcPr>
            <w:tcW w:type="dxa" w:w="1080"/>
          </w:tcPr>
          <w:p>
            <w:r>
              <w:rPr>
                <w:rFonts w:ascii="Calibri" w:hAnsi="Calibri"/>
                <w:b/>
                <w:color w:val="30A46C"/>
                <w:sz w:val="22"/>
              </w:rPr>
              <w:t>+1.2%</w:t>
            </w:r>
          </w:p>
        </w:tc>
        <w:tc>
          <w:tcPr>
            <w:tcW w:type="dxa" w:w="1080"/>
          </w:tcPr>
          <w:p>
            <w:r>
              <w:rPr>
                <w:rFonts w:ascii="Calibri" w:hAnsi="Calibri"/>
                <w:sz w:val="22"/>
              </w:rPr>
              <w:t>No explicit revenue guidance</w:t>
            </w:r>
          </w:p>
        </w:tc>
        <w:tc>
          <w:tcPr>
            <w:tcW w:type="dxa" w:w="1080"/>
          </w:tcPr>
          <w:p>
            <w:r>
              <w:rPr>
                <w:rFonts w:ascii="Calibri" w:hAnsi="Calibri"/>
                <w:sz w:val="22"/>
              </w:rPr>
              <w:t>No explicit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Ratio — FY 2026</w:t>
            </w:r>
          </w:p>
        </w:tc>
        <w:tc>
          <w:tcPr>
            <w:tcW w:type="dxa" w:w="1080"/>
          </w:tcPr>
          <w:p>
            <w:r>
              <w:rPr>
                <w:rFonts w:ascii="Calibri" w:hAnsi="Calibri"/>
                <w:sz w:val="22"/>
              </w:rPr>
              <w:t>58.94%</w:t>
            </w:r>
          </w:p>
        </w:tc>
        <w:tc>
          <w:tcPr>
            <w:tcW w:type="dxa" w:w="1080"/>
          </w:tcPr>
          <w:p>
            <w:r>
              <w:rPr>
                <w:rFonts w:ascii="Calibri" w:hAnsi="Calibri"/>
                <w:sz w:val="22"/>
              </w:rPr>
              <w:t>58.97%</w:t>
            </w:r>
          </w:p>
        </w:tc>
        <w:tc>
          <w:tcPr>
            <w:tcW w:type="dxa" w:w="1080"/>
          </w:tcPr>
          <w:p>
            <w:r>
              <w:rPr>
                <w:rFonts w:ascii="Calibri" w:hAnsi="Calibri"/>
                <w:b/>
                <w:color w:val="E5484D"/>
                <w:sz w:val="22"/>
              </w:rPr>
              <w:t>+3 bps</w:t>
            </w:r>
          </w:p>
        </w:tc>
        <w:tc>
          <w:tcPr>
            <w:tcW w:type="dxa" w:w="1080"/>
          </w:tcPr>
          <w:p>
            <w:r>
              <w:rPr>
                <w:rFonts w:ascii="Calibri" w:hAnsi="Calibri"/>
                <w:sz w:val="22"/>
              </w:rPr>
              <w:t>Improvement vs. 2025 adj. OR of 59.3%</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Cons. implies ~33 bps improvement; consistent with guidance</w:t>
            </w:r>
          </w:p>
        </w:tc>
      </w:tr>
    </w:tbl>
    <w:p>
      <w:r>
        <w:rPr>
          <w:rFonts w:ascii="Calibri" w:hAnsi="Calibri"/>
          <w:i/>
          <w:color w:val="525866"/>
          <w:sz w:val="22"/>
        </w:rPr>
        <w:t>Source: Visible Alpha Consensus and Actuals Data. Post-Q1 baseline uses consensus as of May 1, 2026 (approximately 5 trading days after April 23 earnings).</w:t>
      </w:r>
    </w:p>
    <w:p>
      <w:r>
        <w:rPr>
          <w:rFonts w:ascii="Calibri" w:hAnsi="Calibri"/>
          <w:color w:val="525866"/>
          <w:sz w:val="22"/>
        </w:rPr>
        <w:t>The upward revision to Q2 EPS (+2.8%) and revenue (+2.6%) since Q1 earnings reflects growing confidence in the truck-to-rail conversion story and fuel surcharge recovery, partially offset by the OR estimate edging slightly higher (worse) as fuel cost uncertainty persists. The FY 2026 EPS estimate of $12.71 sits modestly above the implied guidance midpoint, suggesting the street is giving UNP credit for operational execution but not yet pricing in a material acceleration.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UNP's ~8% gain since Q1 earnings has been </w:t>
      </w:r>
      <w:r>
        <w:rPr>
          <w:rFonts w:ascii="Calibri" w:hAnsi="Calibri"/>
          <w:b/>
          <w:color w:val="525866"/>
          <w:sz w:val="22"/>
        </w:rPr>
        <w:t>almost entirely multiple expansion</w:t>
      </w:r>
      <w:r>
        <w:rPr>
          <w:rFonts w:ascii="Calibri" w:hAnsi="Calibri"/>
          <w:color w:val="525866"/>
          <w:sz w:val="22"/>
        </w:rPr>
        <w:t xml:space="preserve"> (NTM P/E from ~18.2x to ~22.1x), not earnings revision-driven — the stock has re-rated on merger optionality and improving freight fundamentals, leaving less room for error on the print.</w:t>
      </w:r>
    </w:p>
    <w:p>
      <w:r>
        <w:rPr>
          <w:rFonts w:ascii="Calibri" w:hAnsi="Calibri"/>
          <w:color w:val="525866"/>
          <w:sz w:val="22"/>
        </w:rPr>
        <w:t xml:space="preserve">Since Q1 2026 earnings (April 23, 2026), UNP has risen from $271.26 to $292.56 (as of July 23, 2026 close), a gain of approximately </w:t>
      </w:r>
      <w:r>
        <w:rPr>
          <w:rFonts w:ascii="Calibri" w:hAnsi="Calibri"/>
          <w:b/>
          <w:color w:val="525866"/>
          <w:sz w:val="22"/>
        </w:rPr>
        <w:t>+7.9%</w:t>
      </w:r>
      <w:r>
        <w:rPr>
          <w:rFonts w:ascii="Calibri" w:hAnsi="Calibri"/>
          <w:color w:val="525866"/>
          <w:sz w:val="22"/>
        </w:rPr>
        <w:t>. Over the same period, IYT (iShares Transportation Average ETF) rose from $81.60 to $87.95 (+7.8%) and the S&amp;P 500 (SPY) rose from $708.45 to $747.41 (+5.5%). UNP has modestly outperformed both the sector ETF and the broader market since Q1 earnings.</w:t>
      </w:r>
    </w:p>
    <w:p>
      <w:r>
        <w:rPr>
          <w:rFonts w:ascii="Calibri" w:hAnsi="Calibri"/>
          <w:b/>
          <w:color w:val="525866"/>
          <w:sz w:val="22"/>
        </w:rPr>
        <w:t>Key performance milestones since Q1 earnings:</w:t>
      </w:r>
    </w:p>
    <w:p>
      <w:pPr>
        <w:pStyle w:val="ListBullet"/>
        <w:ind w:left="360" w:hanging="360"/>
      </w:pPr>
      <w:r>
        <w:rPr>
          <w:rFonts w:ascii="Calibri" w:hAnsi="Calibri"/>
          <w:b/>
          <w:color w:val="525866"/>
          <w:sz w:val="22"/>
        </w:rPr>
        <w:t xml:space="preserve">April 23–May 4: </w:t>
      </w:r>
      <w:r>
        <w:rPr>
          <w:rFonts w:ascii="Calibri" w:hAnsi="Calibri"/>
          <w:color w:val="525866"/>
          <w:sz w:val="22"/>
        </w:rPr>
        <w:t>Stock drifted lower from $271 to $263 as fuel cost concerns weighed on the sector.</w:t>
      </w:r>
    </w:p>
    <w:p>
      <w:pPr>
        <w:pStyle w:val="ListBullet"/>
        <w:ind w:left="360" w:hanging="360"/>
      </w:pPr>
      <w:r>
        <w:rPr>
          <w:rFonts w:ascii="Calibri" w:hAnsi="Calibri"/>
          <w:b/>
          <w:color w:val="525866"/>
          <w:sz w:val="22"/>
        </w:rPr>
        <w:t xml:space="preserve">May 27–June 5: </w:t>
      </w:r>
      <w:r>
        <w:rPr>
          <w:rFonts w:ascii="Calibri" w:hAnsi="Calibri"/>
          <w:color w:val="525866"/>
          <w:sz w:val="22"/>
        </w:rPr>
        <w:t>Sharp spike to $279 on May 27 (STB accepted revised NS merger application on May 28), followed by a pullback.</w:t>
      </w:r>
    </w:p>
    <w:p>
      <w:pPr>
        <w:pStyle w:val="ListBullet"/>
        <w:ind w:left="360" w:hanging="360"/>
      </w:pPr>
      <w:r>
        <w:rPr>
          <w:rFonts w:ascii="Calibri" w:hAnsi="Calibri"/>
          <w:b/>
          <w:color w:val="525866"/>
          <w:sz w:val="22"/>
        </w:rPr>
        <w:t xml:space="preserve">June 17–18: </w:t>
      </w:r>
      <w:r>
        <w:rPr>
          <w:rFonts w:ascii="Calibri" w:hAnsi="Calibri"/>
          <w:color w:val="525866"/>
          <w:sz w:val="22"/>
        </w:rPr>
        <w:t>Dip to $257–$259 range, likely reflecting broader sector weakness and fuel price concerns.</w:t>
      </w:r>
    </w:p>
    <w:p>
      <w:pPr>
        <w:pStyle w:val="ListBullet"/>
        <w:ind w:left="360" w:hanging="360"/>
      </w:pPr>
      <w:r>
        <w:rPr>
          <w:rFonts w:ascii="Calibri" w:hAnsi="Calibri"/>
          <w:b/>
          <w:color w:val="525866"/>
          <w:sz w:val="22"/>
        </w:rPr>
        <w:t xml:space="preserve">July 1–16: </w:t>
      </w:r>
      <w:r>
        <w:rPr>
          <w:rFonts w:ascii="Calibri" w:hAnsi="Calibri"/>
          <w:color w:val="525866"/>
          <w:sz w:val="22"/>
        </w:rPr>
        <w:t>Strong rally from $278 to $299–$302, driven by improving freight data, JBHT's record intermodal quarter (reported July 15), and CSX's strong Q2 print (reported July 22).</w:t>
      </w:r>
    </w:p>
    <w:p>
      <w:pPr>
        <w:pStyle w:val="ListBullet"/>
        <w:ind w:left="360" w:hanging="360"/>
      </w:pPr>
      <w:r>
        <w:rPr>
          <w:rFonts w:ascii="Calibri" w:hAnsi="Calibri"/>
          <w:b/>
          <w:color w:val="525866"/>
          <w:sz w:val="22"/>
        </w:rPr>
        <w:t xml:space="preserve">July 16–22: </w:t>
      </w:r>
      <w:r>
        <w:rPr>
          <w:rFonts w:ascii="Calibri" w:hAnsi="Calibri"/>
          <w:color w:val="525866"/>
          <w:sz w:val="22"/>
        </w:rPr>
        <w:t>Modest pullback from $302 to $293 ahead of UNP's own print.</w:t>
      </w:r>
    </w:p>
    <w:p>
      <w:r>
        <w:rPr>
          <w:rFonts w:ascii="Calibri" w:hAnsi="Calibri"/>
          <w:b/>
          <w:color w:val="525866"/>
          <w:sz w:val="22"/>
        </w:rPr>
        <w:t xml:space="preserve">Valuation context: </w:t>
      </w:r>
      <w:r>
        <w:rPr>
          <w:rFonts w:ascii="Calibri" w:hAnsi="Calibri"/>
          <w:color w:val="525866"/>
          <w:sz w:val="22"/>
        </w:rPr>
        <w:t>NTM EV/EBITDA has expanded from ~13.4x (3 months ago) to ~14.7x currently, and NTM P/E from ~19.8x to ~22.1x. Over the 6-month window, price is up ~32% while EV/EBITDA multiple expanded ~16%, implying roughly half the move is multiple expansion and half is earnings revision-driven. The current 22x NTM P/E is at the high end of UNP's recent trading range and leaves limited margin of safety if the Q2 print disappoints or merger commentary is cautious. Source: Stock Price Data (Yahoo Finance); Valuation multiples from Implied platform.</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STB's acceptance of the revised NS merger application on May 28</w:t>
      </w:r>
      <w:r>
        <w:rPr>
          <w:rFonts w:ascii="Calibri" w:hAnsi="Calibri"/>
          <w:color w:val="525866"/>
          <w:sz w:val="22"/>
        </w:rPr>
        <w:t>, which started the 12-month statutory clock; the supplemental information deadline of July 27 — four days after this earnings call — makes merger commentary the single most market-moving topic on the call.</w:t>
      </w:r>
    </w:p>
    <w:p>
      <w:pPr>
        <w:pStyle w:val="ListBullet"/>
        <w:ind w:left="360" w:hanging="360"/>
      </w:pPr>
      <w:r>
        <w:rPr>
          <w:rFonts w:ascii="Calibri" w:hAnsi="Calibri"/>
          <w:b/>
          <w:color w:val="525866"/>
          <w:sz w:val="22"/>
        </w:rPr>
        <w:t xml:space="preserve">May 28, 2026 — STB Accepts Revised NS Merger Application: </w:t>
      </w:r>
      <w:r>
        <w:rPr>
          <w:rFonts w:ascii="Calibri" w:hAnsi="Calibri"/>
          <w:color w:val="525866"/>
          <w:sz w:val="22"/>
        </w:rPr>
        <w:t xml:space="preserve">The Surface Transportation Board formally accepted UNP's revised merger application (filed April 30 using complete 100% waybill data from all Class I railroads) and placed proceedings in abeyance pending supplemental information due July 27, 2026. Management interprets the statutory 12-month clock as having started from the acceptance date, with an additional 90-day decision window thereafter, targeting mid-2027 completion. </w:t>
      </w:r>
      <w:r>
        <w:rPr>
          <w:rFonts w:ascii="Calibri" w:hAnsi="Calibri"/>
          <w:i/>
          <w:color w:val="525866"/>
          <w:sz w:val="22"/>
        </w:rPr>
        <w:t xml:space="preserve">Implication: </w:t>
      </w:r>
      <w:r>
        <w:rPr>
          <w:rFonts w:ascii="Calibri" w:hAnsi="Calibri"/>
          <w:i/>
          <w:color w:val="525866"/>
          <w:sz w:val="22"/>
        </w:rPr>
        <w:t>The July 27 supplemental filing deadline falls just four days after Q2 earnings — expect significant analyst focus on merger timeline, concession expectations, and regulatory posture.</w:t>
      </w:r>
    </w:p>
    <w:p>
      <w:pPr>
        <w:pStyle w:val="ListBullet"/>
        <w:ind w:left="360" w:hanging="360"/>
      </w:pPr>
      <w:r>
        <w:rPr>
          <w:rFonts w:ascii="Calibri" w:hAnsi="Calibri"/>
          <w:b/>
          <w:color w:val="525866"/>
          <w:sz w:val="22"/>
        </w:rPr>
        <w:t xml:space="preserve">May 21, 2026 — RBC Canadian Industrials Conference (CEO Vena): </w:t>
      </w:r>
      <w:r>
        <w:rPr>
          <w:rFonts w:ascii="Calibri" w:hAnsi="Calibri"/>
          <w:color w:val="525866"/>
          <w:sz w:val="22"/>
        </w:rPr>
        <w:t xml:space="preserve">Vena confirmed weekly carloads running at ~168,000 vs. 162,000 a year ago ("nice growth"), reiterated OR under 60%, and stated concessions are effectively "0" — a more aggressive stance than the $750M figure previously discussed. </w:t>
      </w:r>
      <w:r>
        <w:rPr>
          <w:rFonts w:ascii="Calibri" w:hAnsi="Calibri"/>
          <w:i/>
          <w:color w:val="525866"/>
          <w:sz w:val="22"/>
        </w:rPr>
        <w:t xml:space="preserve">Implication: </w:t>
      </w:r>
      <w:r>
        <w:rPr>
          <w:rFonts w:ascii="Calibri" w:hAnsi="Calibri"/>
          <w:i/>
          <w:color w:val="525866"/>
          <w:sz w:val="22"/>
        </w:rPr>
        <w:t>Volume trajectory entering Q2 was positive; concession stance could be a flashpoint with the STB.</w:t>
      </w:r>
    </w:p>
    <w:p>
      <w:pPr>
        <w:pStyle w:val="ListBullet"/>
        <w:ind w:left="360" w:hanging="360"/>
      </w:pPr>
      <w:r>
        <w:rPr>
          <w:rFonts w:ascii="Calibri" w:hAnsi="Calibri"/>
          <w:b/>
          <w:color w:val="525866"/>
          <w:sz w:val="22"/>
        </w:rPr>
        <w:t xml:space="preserve">May 20, 2026 — Wolfe Research Transportation Conference (CEO Vena &amp; CFO Hamann): </w:t>
      </w:r>
      <w:r>
        <w:rPr>
          <w:rFonts w:ascii="Calibri" w:hAnsi="Calibri"/>
          <w:color w:val="525866"/>
          <w:sz w:val="22"/>
        </w:rPr>
        <w:t xml:space="preserve">CFO confirmed QTD volumes up ~1%, industrial chemicals/plastics +6%, metals/minerals +5%, coal -14% YoY, international intermodal at "low point" of comparison. Fuel flagged at $4.00–$4.25/gallon vs. $2.35 original estimate. CEO acknowledged pricing "not in the right place" vs. service quality delivered. </w:t>
      </w:r>
      <w:r>
        <w:rPr>
          <w:rFonts w:ascii="Calibri" w:hAnsi="Calibri"/>
          <w:i/>
          <w:color w:val="525866"/>
          <w:sz w:val="22"/>
        </w:rPr>
        <w:t xml:space="preserve">Implication: </w:t>
      </w:r>
      <w:r>
        <w:rPr>
          <w:rFonts w:ascii="Calibri" w:hAnsi="Calibri"/>
          <w:i/>
          <w:color w:val="525866"/>
          <w:sz w:val="22"/>
        </w:rPr>
        <w:t>Fuel headwind and coal weakness are real Q2 risks; pricing improvement is a 2027 story.</w:t>
      </w:r>
    </w:p>
    <w:p>
      <w:pPr>
        <w:pStyle w:val="ListBullet"/>
        <w:ind w:left="360" w:hanging="360"/>
      </w:pPr>
      <w:r>
        <w:rPr>
          <w:rFonts w:ascii="Calibri" w:hAnsi="Calibri"/>
          <w:b/>
          <w:color w:val="525866"/>
          <w:sz w:val="22"/>
        </w:rPr>
        <w:t xml:space="preserve">June 16, 2026 — European Investor Conference (CEO Vena &amp; CFO Hamann): </w:t>
      </w:r>
      <w:r>
        <w:rPr>
          <w:rFonts w:ascii="Calibri" w:hAnsi="Calibri"/>
          <w:color w:val="525866"/>
          <w:sz w:val="22"/>
        </w:rPr>
        <w:t xml:space="preserve">Management disclosed ~$35M in Q2 merger costs ("a little bit higher than what we had been thinking"), reiterated $1.8B net EBITDA revenue synergies, $1B cost synergies, $2B capex required, and $133M capital synergies. Vena stated the 12-month clock started May 29 and "can't be paused." </w:t>
      </w:r>
      <w:r>
        <w:rPr>
          <w:rFonts w:ascii="Calibri" w:hAnsi="Calibri"/>
          <w:i/>
          <w:color w:val="525866"/>
          <w:sz w:val="22"/>
        </w:rPr>
        <w:t xml:space="preserve">Implication: </w:t>
      </w:r>
      <w:r>
        <w:rPr>
          <w:rFonts w:ascii="Calibri" w:hAnsi="Calibri"/>
          <w:i/>
          <w:color w:val="525866"/>
          <w:sz w:val="22"/>
        </w:rPr>
        <w:t>Merger cost headwind to Q2 reported EPS is now quantified; synergy targets unchanged.</w:t>
      </w:r>
    </w:p>
    <w:p>
      <w:pPr>
        <w:pStyle w:val="ListBullet"/>
        <w:ind w:left="360" w:hanging="360"/>
      </w:pPr>
      <w:r>
        <w:rPr>
          <w:rFonts w:ascii="Calibri" w:hAnsi="Calibri"/>
          <w:b/>
          <w:color w:val="525866"/>
          <w:sz w:val="22"/>
        </w:rPr>
        <w:t xml:space="preserve">July 15, 2026 — JBHT Q2 2026 Earnings (Peer Read-Through): </w:t>
      </w:r>
      <w:r>
        <w:rPr>
          <w:rFonts w:ascii="Calibri" w:hAnsi="Calibri"/>
          <w:color w:val="525866"/>
          <w:sz w:val="22"/>
        </w:rPr>
        <w:t xml:space="preserve">J.B. Hunt reported record intermodal volumes of 578,000+ loads, up 10% YoY — the first double-digit growth quarter in over a decade. Truck capacity described as tightest since 2021–2022. </w:t>
      </w:r>
      <w:r>
        <w:rPr>
          <w:rFonts w:ascii="Calibri" w:hAnsi="Calibri"/>
          <w:i/>
          <w:color w:val="525866"/>
          <w:sz w:val="22"/>
        </w:rPr>
        <w:t xml:space="preserve">Implication: </w:t>
      </w:r>
      <w:r>
        <w:rPr>
          <w:rFonts w:ascii="Calibri" w:hAnsi="Calibri"/>
          <w:i/>
          <w:color w:val="525866"/>
          <w:sz w:val="22"/>
        </w:rPr>
        <w:t>Strong positive read-through for UNP's domestic intermodal segment; pricing opportunity building for 2027 bid season.</w:t>
      </w:r>
    </w:p>
    <w:p>
      <w:pPr>
        <w:pStyle w:val="ListBullet"/>
        <w:ind w:left="360" w:hanging="360"/>
      </w:pPr>
      <w:r>
        <w:rPr>
          <w:rFonts w:ascii="Calibri" w:hAnsi="Calibri"/>
          <w:b/>
          <w:color w:val="525866"/>
          <w:sz w:val="22"/>
        </w:rPr>
        <w:t xml:space="preserve">July 22, 2026 — CSX Q2 2026 Earnings (Peer Read-Through): </w:t>
      </w:r>
      <w:r>
        <w:rPr>
          <w:rFonts w:ascii="Calibri" w:hAnsi="Calibri"/>
          <w:color w:val="525866"/>
          <w:sz w:val="22"/>
        </w:rPr>
        <w:t xml:space="preserve">CSX reported total volume +6% YoY, revenue +10% (new quarterly record), intermodal +9%, merchandise +4%, coal +4%. Raised full-year revenue guidance to mid-to-high single digits and operating margin expansion &gt;350 bps. Early Q3 units running +6.5%. </w:t>
      </w:r>
      <w:r>
        <w:rPr>
          <w:rFonts w:ascii="Calibri" w:hAnsi="Calibri"/>
          <w:i/>
          <w:color w:val="525866"/>
          <w:sz w:val="22"/>
        </w:rPr>
        <w:t xml:space="preserve">Implication: </w:t>
      </w:r>
      <w:r>
        <w:rPr>
          <w:rFonts w:ascii="Calibri" w:hAnsi="Calibri"/>
          <w:i/>
          <w:color w:val="525866"/>
          <w:sz w:val="22"/>
        </w:rPr>
        <w:t>Strongest possible read-through for UNP — broad-based volume growth, pricing improvement, and raised guidance set a high bar and positive tone for the sector.</w:t>
      </w:r>
    </w:p>
    <w:p>
      <w:pPr>
        <w:pStyle w:val="ListBullet"/>
        <w:ind w:left="360" w:hanging="360"/>
      </w:pPr>
      <w:r>
        <w:rPr>
          <w:rFonts w:ascii="Calibri" w:hAnsi="Calibri"/>
          <w:b/>
          <w:color w:val="525866"/>
          <w:sz w:val="22"/>
        </w:rPr>
        <w:t xml:space="preserve">July 22, 2026 — Diesel/Fuel Price Surge (Macro): </w:t>
      </w:r>
      <w:r>
        <w:rPr>
          <w:rFonts w:ascii="Calibri" w:hAnsi="Calibri"/>
          <w:color w:val="525866"/>
          <w:sz w:val="22"/>
        </w:rPr>
        <w:t xml:space="preserve">Iran war-related disruptions pushed diesel to $5.13/gallon nationally (biggest weekly climb since the war began in March), with refineries running at 96.1% capacity. </w:t>
      </w:r>
      <w:r>
        <w:rPr>
          <w:rFonts w:ascii="Calibri" w:hAnsi="Calibri"/>
          <w:i/>
          <w:color w:val="525866"/>
          <w:sz w:val="22"/>
        </w:rPr>
        <w:t xml:space="preserve">Implication: </w:t>
      </w:r>
      <w:r>
        <w:rPr>
          <w:rFonts w:ascii="Calibri" w:hAnsi="Calibri"/>
          <w:i/>
          <w:color w:val="525866"/>
          <w:sz w:val="22"/>
        </w:rPr>
        <w:t>Fuel surcharge revenue will be elevated in Q2 and potentially Q3, but cost headwind is also significant; net impact depends on surcharge lag mechanics.</w:t>
      </w:r>
    </w:p>
    <w:p>
      <w:pPr>
        <w:pStyle w:val="ListBullet"/>
        <w:ind w:left="360" w:hanging="360"/>
      </w:pPr>
      <w:r>
        <w:rPr>
          <w:rFonts w:ascii="Calibri" w:hAnsi="Calibri"/>
          <w:b/>
          <w:color w:val="525866"/>
          <w:sz w:val="22"/>
        </w:rPr>
        <w:t xml:space="preserve">July 16, 2026 — JBHT Q2 Intermodal Pricing Commentary: </w:t>
      </w:r>
      <w:r>
        <w:rPr>
          <w:rFonts w:ascii="Calibri" w:hAnsi="Calibri"/>
          <w:color w:val="525866"/>
          <w:sz w:val="22"/>
        </w:rPr>
        <w:t xml:space="preserve">JBHT noted the intermodal value proposition is "the strongest it has been in more than a decade" and that the gap between highway and intermodal rates has grown, with pricing opportunity building into the 2027 bid season. </w:t>
      </w:r>
      <w:r>
        <w:rPr>
          <w:rFonts w:ascii="Calibri" w:hAnsi="Calibri"/>
          <w:i/>
          <w:color w:val="525866"/>
          <w:sz w:val="22"/>
        </w:rPr>
        <w:t xml:space="preserve">Implication: </w:t>
      </w:r>
      <w:r>
        <w:rPr>
          <w:rFonts w:ascii="Calibri" w:hAnsi="Calibri"/>
          <w:i/>
          <w:color w:val="525866"/>
          <w:sz w:val="22"/>
        </w:rPr>
        <w:t>UNP's intermodal pricing power is improving but will take time to materialize in contract renewals.</w:t>
      </w:r>
    </w:p>
    <w:p>
      <w:pPr>
        <w:pStyle w:val="ListBullet"/>
        <w:ind w:left="360" w:hanging="360"/>
      </w:pPr>
      <w:r>
        <w:rPr>
          <w:rFonts w:ascii="Calibri" w:hAnsi="Calibri"/>
          <w:b/>
          <w:color w:val="525866"/>
          <w:sz w:val="22"/>
        </w:rPr>
        <w:t xml:space="preserve">May 18, 2026 — Annual Shareholder Meeting: </w:t>
      </w:r>
      <w:r>
        <w:rPr>
          <w:rFonts w:ascii="Calibri" w:hAnsi="Calibri"/>
          <w:color w:val="525866"/>
          <w:sz w:val="22"/>
        </w:rPr>
        <w:t>All proposals approved without controversy. No material governance changes.</w:t>
      </w:r>
    </w:p>
    <w:p>
      <w:pPr>
        <w:pStyle w:val="ListBullet"/>
        <w:ind w:left="360" w:hanging="360"/>
      </w:pPr>
      <w:r>
        <w:rPr>
          <w:rFonts w:ascii="Calibri" w:hAnsi="Calibri"/>
          <w:b/>
          <w:color w:val="525866"/>
          <w:sz w:val="22"/>
        </w:rPr>
        <w:t xml:space="preserve">June 25, 2026 — Q2 Earnings Date Announcement: </w:t>
      </w:r>
      <w:r>
        <w:rPr>
          <w:rFonts w:ascii="Calibri" w:hAnsi="Calibri"/>
          <w:color w:val="525866"/>
          <w:sz w:val="22"/>
        </w:rPr>
        <w:t>UNP confirmed July 23, 2026 as the Q2 2026 earnings release date.</w:t>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Three insider sales since Q1 earnings, all discretionary open-market transactions with no 10b5-1 plan designation — the EVP Marketing &amp; Sales sale of 27,387 shares (~$7.4M) on April 24 is notable in size but occurred immediately post-earnings, a common window for discretionary sales. No open-market purchases. Nothing here signals unusual bearish conviction.</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Kenyatta G. Rocker</w:t>
            </w:r>
          </w:p>
        </w:tc>
        <w:tc>
          <w:tcPr>
            <w:tcW w:type="dxa" w:w="1234"/>
          </w:tcPr>
          <w:p>
            <w:r>
              <w:rPr>
                <w:rFonts w:ascii="Calibri" w:hAnsi="Calibri"/>
                <w:sz w:val="22"/>
              </w:rPr>
              <w:t>EVP Marketing &amp; Sales</w:t>
            </w:r>
          </w:p>
        </w:tc>
        <w:tc>
          <w:tcPr>
            <w:tcW w:type="dxa" w:w="1234"/>
          </w:tcPr>
          <w:p>
            <w:r>
              <w:rPr>
                <w:rFonts w:ascii="Calibri" w:hAnsi="Calibri"/>
                <w:sz w:val="22"/>
              </w:rPr>
              <w:t>Open Market Sale</w:t>
            </w:r>
          </w:p>
        </w:tc>
        <w:tc>
          <w:tcPr>
            <w:tcW w:type="dxa" w:w="1234"/>
          </w:tcPr>
          <w:p>
            <w:r>
              <w:rPr>
                <w:rFonts w:ascii="Calibri" w:hAnsi="Calibri"/>
                <w:sz w:val="22"/>
              </w:rPr>
              <w:t>27,387</w:t>
            </w:r>
          </w:p>
        </w:tc>
        <w:tc>
          <w:tcPr>
            <w:tcW w:type="dxa" w:w="1234"/>
          </w:tcPr>
          <w:p>
            <w:r>
              <w:rPr>
                <w:rFonts w:ascii="Calibri" w:hAnsi="Calibri"/>
                <w:sz w:val="22"/>
              </w:rPr>
              <w:t>~$7.4M (est. at ~$270/share)</w:t>
            </w:r>
          </w:p>
        </w:tc>
        <w:tc>
          <w:tcPr>
            <w:tcW w:type="dxa" w:w="1234"/>
          </w:tcPr>
          <w:p>
            <w:r>
              <w:rPr>
                <w:rFonts w:ascii="Calibri" w:hAnsi="Calibri"/>
                <w:sz w:val="22"/>
              </w:rPr>
              <w:t>April 24, 2026</w:t>
            </w:r>
          </w:p>
        </w:tc>
        <w:tc>
          <w:tcPr>
            <w:tcW w:type="dxa" w:w="1234"/>
          </w:tcPr>
          <w:p>
            <w:r>
              <w:rPr>
                <w:rFonts w:ascii="Calibri" w:hAnsi="Calibri"/>
                <w:sz w:val="22"/>
              </w:rPr>
              <w:t>Discretionary; sold day after Q1 earnings; no 10b5-1 plan. Retained 61,102 shares post-sale.</w:t>
            </w:r>
          </w:p>
        </w:tc>
      </w:tr>
      <w:tr>
        <w:tc>
          <w:tcPr>
            <w:tcW w:type="dxa" w:w="1234"/>
          </w:tcPr>
          <w:p>
            <w:r>
              <w:rPr>
                <w:rFonts w:ascii="Calibri" w:hAnsi="Calibri"/>
                <w:sz w:val="22"/>
              </w:rPr>
              <w:t>Jennifer L. Hamann</w:t>
            </w:r>
          </w:p>
        </w:tc>
        <w:tc>
          <w:tcPr>
            <w:tcW w:type="dxa" w:w="1234"/>
          </w:tcPr>
          <w:p>
            <w:r>
              <w:rPr>
                <w:rFonts w:ascii="Calibri" w:hAnsi="Calibri"/>
                <w:sz w:val="22"/>
              </w:rPr>
              <w:t>EVP &amp; CFO</w:t>
            </w:r>
          </w:p>
        </w:tc>
        <w:tc>
          <w:tcPr>
            <w:tcW w:type="dxa" w:w="1234"/>
          </w:tcPr>
          <w:p>
            <w:r>
              <w:rPr>
                <w:rFonts w:ascii="Calibri" w:hAnsi="Calibri"/>
                <w:sz w:val="22"/>
              </w:rPr>
              <w:t>Open Market Sale</w:t>
            </w:r>
          </w:p>
        </w:tc>
        <w:tc>
          <w:tcPr>
            <w:tcW w:type="dxa" w:w="1234"/>
          </w:tcPr>
          <w:p>
            <w:r>
              <w:rPr>
                <w:rFonts w:ascii="Calibri" w:hAnsi="Calibri"/>
                <w:sz w:val="22"/>
              </w:rPr>
              <w:t>2,000</w:t>
            </w:r>
          </w:p>
        </w:tc>
        <w:tc>
          <w:tcPr>
            <w:tcW w:type="dxa" w:w="1234"/>
          </w:tcPr>
          <w:p>
            <w:r>
              <w:rPr>
                <w:rFonts w:ascii="Calibri" w:hAnsi="Calibri"/>
                <w:sz w:val="22"/>
              </w:rPr>
              <w:t>~$537K (est. at ~$269/share)</w:t>
            </w:r>
          </w:p>
        </w:tc>
        <w:tc>
          <w:tcPr>
            <w:tcW w:type="dxa" w:w="1234"/>
          </w:tcPr>
          <w:p>
            <w:r>
              <w:rPr>
                <w:rFonts w:ascii="Calibri" w:hAnsi="Calibri"/>
                <w:sz w:val="22"/>
              </w:rPr>
              <w:t>April 24, 2026</w:t>
            </w:r>
          </w:p>
        </w:tc>
        <w:tc>
          <w:tcPr>
            <w:tcW w:type="dxa" w:w="1234"/>
          </w:tcPr>
          <w:p>
            <w:r>
              <w:rPr>
                <w:rFonts w:ascii="Calibri" w:hAnsi="Calibri"/>
                <w:sz w:val="22"/>
              </w:rPr>
              <w:t>Discretionary; sold day after Q1 earnings; no 10b5-1 plan. Retained 114,642 shares post-sale.</w:t>
            </w:r>
          </w:p>
        </w:tc>
      </w:tr>
      <w:tr>
        <w:tc>
          <w:tcPr>
            <w:tcW w:type="dxa" w:w="1234"/>
          </w:tcPr>
          <w:p>
            <w:r>
              <w:rPr>
                <w:rFonts w:ascii="Calibri" w:hAnsi="Calibri"/>
                <w:sz w:val="22"/>
              </w:rPr>
              <w:t>Eric J. Gehringer</w:t>
            </w:r>
          </w:p>
        </w:tc>
        <w:tc>
          <w:tcPr>
            <w:tcW w:type="dxa" w:w="1234"/>
          </w:tcPr>
          <w:p>
            <w:r>
              <w:rPr>
                <w:rFonts w:ascii="Calibri" w:hAnsi="Calibri"/>
                <w:sz w:val="22"/>
              </w:rPr>
              <w:t>EVP Operations</w:t>
            </w:r>
          </w:p>
        </w:tc>
        <w:tc>
          <w:tcPr>
            <w:tcW w:type="dxa" w:w="1234"/>
          </w:tcPr>
          <w:p>
            <w:r>
              <w:rPr>
                <w:rFonts w:ascii="Calibri" w:hAnsi="Calibri"/>
                <w:sz w:val="22"/>
              </w:rPr>
              <w:t>Open Market Sale</w:t>
            </w:r>
          </w:p>
        </w:tc>
        <w:tc>
          <w:tcPr>
            <w:tcW w:type="dxa" w:w="1234"/>
          </w:tcPr>
          <w:p>
            <w:r>
              <w:rPr>
                <w:rFonts w:ascii="Calibri" w:hAnsi="Calibri"/>
                <w:sz w:val="22"/>
              </w:rPr>
              <w:t>2,991</w:t>
            </w:r>
          </w:p>
        </w:tc>
        <w:tc>
          <w:tcPr>
            <w:tcW w:type="dxa" w:w="1234"/>
          </w:tcPr>
          <w:p>
            <w:r>
              <w:rPr>
                <w:rFonts w:ascii="Calibri" w:hAnsi="Calibri"/>
                <w:sz w:val="22"/>
              </w:rPr>
              <w:t>~$800K (est. at ~$267/share)</w:t>
            </w:r>
          </w:p>
        </w:tc>
        <w:tc>
          <w:tcPr>
            <w:tcW w:type="dxa" w:w="1234"/>
          </w:tcPr>
          <w:p>
            <w:r>
              <w:rPr>
                <w:rFonts w:ascii="Calibri" w:hAnsi="Calibri"/>
                <w:sz w:val="22"/>
              </w:rPr>
              <w:t>June 3, 2026</w:t>
            </w:r>
          </w:p>
        </w:tc>
        <w:tc>
          <w:tcPr>
            <w:tcW w:type="dxa" w:w="1234"/>
          </w:tcPr>
          <w:p>
            <w:r>
              <w:rPr>
                <w:rFonts w:ascii="Calibri" w:hAnsi="Calibri"/>
                <w:sz w:val="22"/>
              </w:rPr>
              <w:t>Discretionary; no 10b5-1 plan. Retained 43,012 shares post-sale.</w:t>
            </w:r>
          </w:p>
        </w:tc>
      </w:tr>
    </w:tbl>
    <w:p>
      <w:r>
        <w:rPr>
          <w:rFonts w:ascii="Calibri" w:hAnsi="Calibri"/>
          <w:i/>
          <w:color w:val="525866"/>
          <w:sz w:val="22"/>
        </w:rPr>
        <w:t>Source: SEC Form 4 Filings Database. Open-market transactions only (Form 4 code S). No open-market purchases (code P) were filed in the period.</w:t>
      </w:r>
    </w:p>
    <w:p>
      <w:r>
        <w:br w:type="page"/>
      </w:r>
    </w:p>
    <w:p>
      <w:pPr>
        <w:pStyle w:val="Heading2"/>
      </w:pPr>
      <w:r>
        <w:rPr>
          <w:rFonts w:ascii="Calibri" w:hAnsi="Calibri"/>
          <w:b/>
          <w:color w:val="3B4259"/>
          <w:sz w:val="28"/>
        </w:rPr>
        <w:t>8. Peer Commentary / Q2 2026 Read-Throughs</w:t>
      </w:r>
    </w:p>
    <w:p>
      <w:r>
        <w:rPr>
          <w:rFonts w:ascii="Calibri" w:hAnsi="Calibri"/>
          <w:b/>
          <w:color w:val="525866"/>
          <w:sz w:val="22"/>
        </w:rPr>
        <w:t xml:space="preserve">Key Takeaway: </w:t>
      </w:r>
      <w:r>
        <w:rPr>
          <w:rFonts w:ascii="Calibri" w:hAnsi="Calibri"/>
          <w:color w:val="525866"/>
          <w:sz w:val="22"/>
        </w:rPr>
        <w:t xml:space="preserve">Peer commentary from the last 60 days is </w:t>
      </w:r>
      <w:r>
        <w:rPr>
          <w:rFonts w:ascii="Calibri" w:hAnsi="Calibri"/>
          <w:b/>
          <w:color w:val="525866"/>
          <w:sz w:val="22"/>
        </w:rPr>
        <w:t>uniformly constructive</w:t>
      </w:r>
      <w:r>
        <w:rPr>
          <w:rFonts w:ascii="Calibri" w:hAnsi="Calibri"/>
          <w:color w:val="525866"/>
          <w:sz w:val="22"/>
        </w:rPr>
        <w:t xml:space="preserve"> for UNP's Q2 print — CSX's record revenue quarter, JBHT's record intermodal volumes, and CPKC/CNI's positive volume and pricing commentary all point to a strong freight environment. The primary risk is fuel cost lag and coal mix, both of which are well-understood by the street.</w:t>
      </w:r>
    </w:p>
    <w:p>
      <w:r>
        <w:rPr>
          <w:rFonts w:ascii="Calibri" w:hAnsi="Calibri"/>
          <w:b/>
          <w:color w:val="525866"/>
          <w:sz w:val="22"/>
        </w:rPr>
        <w:t xml:space="preserve">Note: </w:t>
      </w:r>
      <w:r>
        <w:rPr>
          <w:rFonts w:ascii="Calibri" w:hAnsi="Calibri"/>
          <w:i/>
          <w:color w:val="525866"/>
          <w:sz w:val="22"/>
        </w:rPr>
        <w:t>All commentary below is from the current reporting quarter (Q2 2026) or forward-looking statements made after Q1 2026 earnings. Prior-quarter retrospective commentary has been excluded.</w:t>
      </w:r>
    </w:p>
    <w:p>
      <w:pPr>
        <w:pStyle w:val="Heading3"/>
      </w:pPr>
      <w:r>
        <w:rPr>
          <w:rFonts w:ascii="Calibri" w:hAnsi="Calibri"/>
          <w:b/>
          <w:color w:val="3B4259"/>
          <w:sz w:val="24"/>
        </w:rPr>
        <w:t>CSX Corporation (CSX) — Q2 2026 Earnings Call, July 22, 2026</w:t>
      </w:r>
    </w:p>
    <w:p>
      <w:r>
        <w:rPr>
          <w:rFonts w:ascii="Calibri" w:hAnsi="Calibri"/>
          <w:b/>
          <w:color w:val="525866"/>
          <w:sz w:val="22"/>
        </w:rPr>
        <w:t xml:space="preserve">Relevance: </w:t>
      </w:r>
      <w:r>
        <w:rPr>
          <w:rFonts w:ascii="Calibri" w:hAnsi="Calibri"/>
          <w:color w:val="525866"/>
          <w:sz w:val="22"/>
        </w:rPr>
        <w:t>CSX is UNP's closest publicly comparable Class I railroad (eastern vs. western network), reporting the same quarter on the same day. This is the highest-quality read-through available.</w:t>
      </w:r>
    </w:p>
    <w:p>
      <w:pPr>
        <w:pStyle w:val="ListBullet"/>
        <w:ind w:left="360" w:hanging="360"/>
      </w:pPr>
      <w:r>
        <w:rPr>
          <w:rFonts w:ascii="Calibri" w:hAnsi="Calibri"/>
          <w:b/>
          <w:color w:val="525866"/>
          <w:sz w:val="22"/>
        </w:rPr>
        <w:t xml:space="preserve">Volume: </w:t>
      </w:r>
      <w:r>
        <w:rPr>
          <w:rFonts w:ascii="Calibri" w:hAnsi="Calibri"/>
          <w:color w:val="525866"/>
          <w:sz w:val="22"/>
        </w:rPr>
        <w:t>"For the quarter, volume increased 6% and our revenue increased 10%, reaching a new quarterly record." Intermodal was the largest contributor at +9% YoY; merchandise +4%; coal +4%. Early Q3 units running +6.5%.</w:t>
      </w:r>
    </w:p>
    <w:p>
      <w:pPr>
        <w:pStyle w:val="ListBullet"/>
        <w:ind w:left="360" w:hanging="360"/>
      </w:pPr>
      <w:r>
        <w:rPr>
          <w:rFonts w:ascii="Calibri" w:hAnsi="Calibri"/>
          <w:b/>
          <w:color w:val="525866"/>
          <w:sz w:val="22"/>
        </w:rPr>
        <w:t xml:space="preserve">Pricing: </w:t>
      </w:r>
      <w:r>
        <w:rPr>
          <w:rFonts w:ascii="Calibri" w:hAnsi="Calibri"/>
          <w:color w:val="525866"/>
          <w:sz w:val="22"/>
        </w:rPr>
        <w:t>"Underlying core pricing remains at or above our plan with most of our contract renewals for the year already complete." Same-store sales pricing expected to be "stronger this year than it was last year." Intermodal RPU +16% YoY driven by fuel surcharge.</w:t>
      </w:r>
    </w:p>
    <w:p>
      <w:pPr>
        <w:pStyle w:val="ListBullet"/>
        <w:ind w:left="360" w:hanging="360"/>
      </w:pPr>
      <w:r>
        <w:rPr>
          <w:rFonts w:ascii="Calibri" w:hAnsi="Calibri"/>
          <w:b/>
          <w:color w:val="525866"/>
          <w:sz w:val="22"/>
        </w:rPr>
        <w:t xml:space="preserve">Truck-to-Rail Conversion: </w:t>
      </w:r>
      <w:r>
        <w:rPr>
          <w:rFonts w:ascii="Calibri" w:hAnsi="Calibri"/>
          <w:color w:val="525866"/>
          <w:sz w:val="22"/>
        </w:rPr>
        <w:t>"Tighter truck supply and higher rates are highlighting the value proposition of rail on the merchandise side... truck to rail conversions have accelerated." Truck capacity tightened "particularly over the course of the last couple of months with regulatory enforcement."</w:t>
      </w:r>
    </w:p>
    <w:p>
      <w:pPr>
        <w:pStyle w:val="ListBullet"/>
        <w:ind w:left="360" w:hanging="360"/>
      </w:pPr>
      <w:r>
        <w:rPr>
          <w:rFonts w:ascii="Calibri" w:hAnsi="Calibri"/>
          <w:b/>
          <w:color w:val="525866"/>
          <w:sz w:val="22"/>
        </w:rPr>
        <w:t xml:space="preserve">Fuel/Costs: </w:t>
      </w:r>
      <w:r>
        <w:rPr>
          <w:rFonts w:ascii="Calibri" w:hAnsi="Calibri"/>
          <w:color w:val="525866"/>
          <w:sz w:val="22"/>
        </w:rPr>
        <w:t>Non-fuel expenses down 2% despite 6% volume growth. Fuel was a 160 bps headwind to operating margin but surcharge revenue more than offset at the revenue line. CFO noted "pretty dramatic increase this past week" in fuel prices (Iran war-related).</w:t>
      </w:r>
    </w:p>
    <w:p>
      <w:pPr>
        <w:pStyle w:val="ListBullet"/>
        <w:ind w:left="360" w:hanging="360"/>
      </w:pPr>
      <w:r>
        <w:rPr>
          <w:rFonts w:ascii="Calibri" w:hAnsi="Calibri"/>
          <w:b/>
          <w:color w:val="525866"/>
          <w:sz w:val="22"/>
        </w:rPr>
        <w:t xml:space="preserve">Forward Guidance: </w:t>
      </w:r>
      <w:r>
        <w:rPr>
          <w:rFonts w:ascii="Calibri" w:hAnsi="Calibri"/>
          <w:color w:val="525866"/>
          <w:sz w:val="22"/>
        </w:rPr>
        <w:t>Raised full-year revenue guidance to mid-to-high single digits; operating margin expansion &gt;350 bps; free cash flow growth &gt;80%. "We expect to generate powerful incremental margins."</w:t>
      </w:r>
    </w:p>
    <w:p>
      <w:pPr>
        <w:pStyle w:val="ListBullet"/>
        <w:ind w:left="360" w:hanging="360"/>
      </w:pPr>
      <w:r>
        <w:rPr>
          <w:rFonts w:ascii="Calibri" w:hAnsi="Calibri"/>
          <w:b/>
          <w:color w:val="525866"/>
          <w:sz w:val="22"/>
        </w:rPr>
        <w:t xml:space="preserve">UNP Read-Through: </w:t>
      </w:r>
      <w:r>
        <w:rPr>
          <w:rFonts w:ascii="Calibri" w:hAnsi="Calibri"/>
          <w:color w:val="525866"/>
          <w:sz w:val="22"/>
        </w:rPr>
        <w:t>Strongly positive. Broad-based volume growth, accelerating truck-to-rail conversions, improving pricing, and raised guidance all point to a favorable Q2 environment for UNP. The fuel headwind is real but manageable. Automotive caution ("softer start to the second half") and plastics moderation (pull-forward) are relevant risks for UNP's premium and industrial segments.</w:t>
      </w:r>
    </w:p>
    <w:p>
      <w:pPr>
        <w:pStyle w:val="Heading3"/>
      </w:pPr>
      <w:r>
        <w:rPr>
          <w:rFonts w:ascii="Calibri" w:hAnsi="Calibri"/>
          <w:b/>
          <w:color w:val="3B4259"/>
          <w:sz w:val="24"/>
        </w:rPr>
        <w:t>J.B. Hunt Transport Services (JBHT) — Q2 2026 Earnings Call, July 15, 2026</w:t>
      </w:r>
    </w:p>
    <w:p>
      <w:r>
        <w:rPr>
          <w:rFonts w:ascii="Calibri" w:hAnsi="Calibri"/>
          <w:b/>
          <w:color w:val="525866"/>
          <w:sz w:val="22"/>
        </w:rPr>
        <w:t xml:space="preserve">Relevance: </w:t>
      </w:r>
      <w:r>
        <w:rPr>
          <w:rFonts w:ascii="Calibri" w:hAnsi="Calibri"/>
          <w:color w:val="525866"/>
          <w:sz w:val="22"/>
        </w:rPr>
        <w:t>JBHT is the largest intermodal marketing company (IMC) in North America and a direct customer of UNP's intermodal network. Its volume and pricing commentary is a direct leading indicator for UNP's intermodal segment.</w:t>
      </w:r>
    </w:p>
    <w:p>
      <w:pPr>
        <w:pStyle w:val="ListBullet"/>
        <w:ind w:left="360" w:hanging="360"/>
      </w:pPr>
      <w:r>
        <w:rPr>
          <w:rFonts w:ascii="Calibri" w:hAnsi="Calibri"/>
          <w:b/>
          <w:color w:val="525866"/>
          <w:sz w:val="22"/>
        </w:rPr>
        <w:t xml:space="preserve">Intermodal Volume: </w:t>
      </w:r>
      <w:r>
        <w:rPr>
          <w:rFonts w:ascii="Calibri" w:hAnsi="Calibri"/>
          <w:color w:val="525866"/>
          <w:sz w:val="22"/>
        </w:rPr>
        <w:t>"Demand for intermodal service outperformed normal seasonality for the third consecutive quarter, and we also set a quarterly volume record with over 578,000 loads for the quarter." Volumes up 10% YoY — "the first double digit volume growth quarter in over a decade." Monthly acceleration: April +9%, May +9%, June +12%.</w:t>
      </w:r>
    </w:p>
    <w:p>
      <w:pPr>
        <w:pStyle w:val="ListBullet"/>
        <w:ind w:left="360" w:hanging="360"/>
      </w:pPr>
      <w:r>
        <w:rPr>
          <w:rFonts w:ascii="Calibri" w:hAnsi="Calibri"/>
          <w:b/>
          <w:color w:val="525866"/>
          <w:sz w:val="22"/>
        </w:rPr>
        <w:t xml:space="preserve">Truck Market Tightening: </w:t>
      </w:r>
      <w:r>
        <w:rPr>
          <w:rFonts w:ascii="Calibri" w:hAnsi="Calibri"/>
          <w:color w:val="525866"/>
          <w:sz w:val="22"/>
        </w:rPr>
        <w:t>"Capacity has tightened across the industry as safety focused enforcement and broader supply pressures continue to affect available truckload capacity... several industry indicators, including higher tender rejections, higher spot pricing, and lower driver employment, move towards levels not seen since 2021 and 2022."</w:t>
      </w:r>
    </w:p>
    <w:p>
      <w:pPr>
        <w:pStyle w:val="ListBullet"/>
        <w:ind w:left="360" w:hanging="360"/>
      </w:pPr>
      <w:r>
        <w:rPr>
          <w:rFonts w:ascii="Calibri" w:hAnsi="Calibri"/>
          <w:b/>
          <w:color w:val="525866"/>
          <w:sz w:val="22"/>
        </w:rPr>
        <w:t xml:space="preserve">Intermodal Pricing: </w:t>
      </w:r>
      <w:r>
        <w:rPr>
          <w:rFonts w:ascii="Calibri" w:hAnsi="Calibri"/>
          <w:color w:val="525866"/>
          <w:sz w:val="22"/>
        </w:rPr>
        <w:t>"The intermodal value proposition is the strongest it has been in more than a decade." Pricing conversations "more transparent, more frequent and more flexible." Record number of out-of-cycle bids in Q2. "We are increasingly encouraged by the pricing opportunity heading into the 2027 bid season than we were even a couple of months ago."</w:t>
      </w:r>
    </w:p>
    <w:p>
      <w:pPr>
        <w:pStyle w:val="ListBullet"/>
        <w:ind w:left="360" w:hanging="360"/>
      </w:pPr>
      <w:r>
        <w:rPr>
          <w:rFonts w:ascii="Calibri" w:hAnsi="Calibri"/>
          <w:b/>
          <w:color w:val="525866"/>
          <w:sz w:val="22"/>
        </w:rPr>
        <w:t xml:space="preserve">Rail Network Quality: </w:t>
      </w:r>
      <w:r>
        <w:rPr>
          <w:rFonts w:ascii="Calibri" w:hAnsi="Calibri"/>
          <w:color w:val="525866"/>
          <w:sz w:val="22"/>
        </w:rPr>
        <w:t>"The rail network is experiencing quality growth, and we remain actively engaged with our rail providers on resource planning to support both current and future growth." Rail service "moderated slightly as volumes accelerated" but confidence remains in rail providers' ability to support higher volumes.</w:t>
      </w:r>
    </w:p>
    <w:p>
      <w:pPr>
        <w:pStyle w:val="ListBullet"/>
        <w:ind w:left="360" w:hanging="360"/>
      </w:pPr>
      <w:r>
        <w:rPr>
          <w:rFonts w:ascii="Calibri" w:hAnsi="Calibri"/>
          <w:b/>
          <w:color w:val="525866"/>
          <w:sz w:val="22"/>
        </w:rPr>
        <w:t xml:space="preserve">Fuel: </w:t>
      </w:r>
      <w:r>
        <w:rPr>
          <w:rFonts w:ascii="Calibri" w:hAnsi="Calibri"/>
          <w:color w:val="525866"/>
          <w:sz w:val="22"/>
        </w:rPr>
        <w:t>Fuel was "close to a 100 basis point headwind to operating margin percentage compared with the prior year quarter" for JBHT — a direct read-through for UNP's fuel cost impact.</w:t>
      </w:r>
    </w:p>
    <w:p>
      <w:pPr>
        <w:pStyle w:val="ListBullet"/>
        <w:ind w:left="360" w:hanging="360"/>
      </w:pPr>
      <w:r>
        <w:rPr>
          <w:rFonts w:ascii="Calibri" w:hAnsi="Calibri"/>
          <w:b/>
          <w:color w:val="525866"/>
          <w:sz w:val="22"/>
        </w:rPr>
        <w:t xml:space="preserve">UNP Read-Through: </w:t>
      </w:r>
      <w:r>
        <w:rPr>
          <w:rFonts w:ascii="Calibri" w:hAnsi="Calibri"/>
          <w:color w:val="525866"/>
          <w:sz w:val="22"/>
        </w:rPr>
        <w:t>Strongly positive for domestic intermodal volumes. The record JBHT quarter confirms UNP's domestic intermodal strength (already flagged as a record in Q1). Pricing improvement is a 2027 story, not Q2. The tightening truck market is the most important structural tailwind for UNP's intermodal franchise.</w:t>
      </w:r>
    </w:p>
    <w:p>
      <w:pPr>
        <w:pStyle w:val="Heading3"/>
      </w:pPr>
      <w:r>
        <w:rPr>
          <w:rFonts w:ascii="Calibri" w:hAnsi="Calibri"/>
          <w:b/>
          <w:color w:val="3B4259"/>
          <w:sz w:val="24"/>
        </w:rPr>
        <w:t>Canadian Pacific Kansas City (CPKC) — Wells Fargo Industrials &amp; Materials Conference, June 10, 2026</w:t>
      </w:r>
    </w:p>
    <w:p>
      <w:r>
        <w:rPr>
          <w:rFonts w:ascii="Calibri" w:hAnsi="Calibri"/>
          <w:b/>
          <w:color w:val="525866"/>
          <w:sz w:val="22"/>
        </w:rPr>
        <w:t xml:space="preserve">Relevance: </w:t>
      </w:r>
      <w:r>
        <w:rPr>
          <w:rFonts w:ascii="Calibri" w:hAnsi="Calibri"/>
          <w:color w:val="525866"/>
          <w:sz w:val="22"/>
        </w:rPr>
        <w:t>CPKC operates a competing North American network with significant overlap in agricultural, automotive, and cross-border Mexico traffic. Its Q2 commentary provides a real-time read on shared end markets.</w:t>
      </w:r>
    </w:p>
    <w:p>
      <w:pPr>
        <w:pStyle w:val="ListBullet"/>
        <w:ind w:left="360" w:hanging="360"/>
      </w:pPr>
      <w:r>
        <w:rPr>
          <w:rFonts w:ascii="Calibri" w:hAnsi="Calibri"/>
          <w:b/>
          <w:color w:val="525866"/>
          <w:sz w:val="22"/>
        </w:rPr>
        <w:t xml:space="preserve">Volume: </w:t>
      </w:r>
      <w:r>
        <w:rPr>
          <w:rFonts w:ascii="Calibri" w:hAnsi="Calibri"/>
          <w:color w:val="525866"/>
          <w:sz w:val="22"/>
        </w:rPr>
        <w:t>"Volume trend continues to be positive in sort of week over week. We continue to see a little bit of an uptick." Q2 RTMs expected to fall in the "3.5 to 4.5% range." Full-year guidance of mid-single digit volume growth reaffirmed.</w:t>
      </w:r>
    </w:p>
    <w:p>
      <w:pPr>
        <w:pStyle w:val="ListBullet"/>
        <w:ind w:left="360" w:hanging="360"/>
      </w:pPr>
      <w:r>
        <w:rPr>
          <w:rFonts w:ascii="Calibri" w:hAnsi="Calibri"/>
          <w:b/>
          <w:color w:val="525866"/>
          <w:sz w:val="22"/>
        </w:rPr>
        <w:t xml:space="preserve">Pricing: </w:t>
      </w:r>
      <w:r>
        <w:rPr>
          <w:rFonts w:ascii="Calibri" w:hAnsi="Calibri"/>
          <w:color w:val="525866"/>
          <w:sz w:val="22"/>
        </w:rPr>
        <w:t>"We continue to be very disciplined in the marketplace in terms of pricing. I feel good about where we sit on that front." Q2 pricing tracking in the "3 to 3.5 to 4.5% range."</w:t>
      </w:r>
    </w:p>
    <w:p>
      <w:pPr>
        <w:pStyle w:val="ListBullet"/>
        <w:ind w:left="360" w:hanging="360"/>
      </w:pPr>
      <w:r>
        <w:rPr>
          <w:rFonts w:ascii="Calibri" w:hAnsi="Calibri"/>
          <w:b/>
          <w:color w:val="525866"/>
          <w:sz w:val="22"/>
        </w:rPr>
        <w:t xml:space="preserve">Grain: </w:t>
      </w:r>
      <w:r>
        <w:rPr>
          <w:rFonts w:ascii="Calibri" w:hAnsi="Calibri"/>
          <w:color w:val="525866"/>
          <w:sz w:val="22"/>
        </w:rPr>
        <w:t>"Record crop across Canada... record crop specifically in the corn side in the US." Grain RTMs up ~4% QTD. U.S. customers "pretty bullish on the outlook the next few months." Strong positive read-through for UNP's agricultural segment.</w:t>
      </w:r>
    </w:p>
    <w:p>
      <w:pPr>
        <w:pStyle w:val="ListBullet"/>
        <w:ind w:left="360" w:hanging="360"/>
      </w:pPr>
      <w:r>
        <w:rPr>
          <w:rFonts w:ascii="Calibri" w:hAnsi="Calibri"/>
          <w:b/>
          <w:color w:val="525866"/>
          <w:sz w:val="22"/>
        </w:rPr>
        <w:t xml:space="preserve">Automotive: </w:t>
      </w:r>
      <w:r>
        <w:rPr>
          <w:rFonts w:ascii="Calibri" w:hAnsi="Calibri"/>
          <w:color w:val="525866"/>
          <w:sz w:val="22"/>
        </w:rPr>
        <w:t>"Auto has also accelerated nicely here in the second quarter... right now, the demand is strong." Expects "a pretty good run out here the next few weeks to close out the quarter." Positive read-through for UNP's finished vehicles segment.</w:t>
      </w:r>
    </w:p>
    <w:p>
      <w:pPr>
        <w:pStyle w:val="ListBullet"/>
        <w:ind w:left="360" w:hanging="360"/>
      </w:pPr>
      <w:r>
        <w:rPr>
          <w:rFonts w:ascii="Calibri" w:hAnsi="Calibri"/>
          <w:b/>
          <w:color w:val="525866"/>
          <w:sz w:val="22"/>
        </w:rPr>
        <w:t xml:space="preserve">Intermodal: </w:t>
      </w:r>
      <w:r>
        <w:rPr>
          <w:rFonts w:ascii="Calibri" w:hAnsi="Calibri"/>
          <w:color w:val="525866"/>
          <w:sz w:val="22"/>
        </w:rPr>
        <w:t>International intermodal "hanging in there better than actually I thought" despite tough comps. Domestic consumer "pretty resilient." Tightening truck capacity creating opportunity: "We're getting a lot of interest from shippers that are trucking today that are interested in boxcar or other types of movements."</w:t>
      </w:r>
    </w:p>
    <w:p>
      <w:pPr>
        <w:pStyle w:val="ListBullet"/>
        <w:ind w:left="360" w:hanging="360"/>
      </w:pPr>
      <w:r>
        <w:rPr>
          <w:rFonts w:ascii="Calibri" w:hAnsi="Calibri"/>
          <w:b/>
          <w:color w:val="525866"/>
          <w:sz w:val="22"/>
        </w:rPr>
        <w:t xml:space="preserve">Fuel: </w:t>
      </w:r>
      <w:r>
        <w:rPr>
          <w:rFonts w:ascii="Calibri" w:hAnsi="Calibri"/>
          <w:color w:val="525866"/>
          <w:sz w:val="22"/>
        </w:rPr>
        <w:t>"Fuel continues will be a challenge." Consistent with UNP's own flagging of fuel as a Q2 headwind.</w:t>
      </w:r>
    </w:p>
    <w:p>
      <w:pPr>
        <w:pStyle w:val="ListBullet"/>
        <w:ind w:left="360" w:hanging="360"/>
      </w:pPr>
      <w:r>
        <w:rPr>
          <w:rFonts w:ascii="Calibri" w:hAnsi="Calibri"/>
          <w:b/>
          <w:color w:val="525866"/>
          <w:sz w:val="22"/>
        </w:rPr>
        <w:t xml:space="preserve">Mexico/Nearshoring: </w:t>
      </w:r>
      <w:r>
        <w:rPr>
          <w:rFonts w:ascii="Calibri" w:hAnsi="Calibri"/>
          <w:color w:val="525866"/>
          <w:sz w:val="22"/>
        </w:rPr>
        <w:t>"I'm bullish on Mexico... inning 1 or 2 of a growth story with Mexico." Trade between Mexico and Canada has grown to a "$400 million plus revenue stream from almost a zero revenue stream just three years ago." Highly relevant for UNP's cross-border operations.</w:t>
      </w:r>
    </w:p>
    <w:p>
      <w:pPr>
        <w:pStyle w:val="ListBullet"/>
        <w:ind w:left="360" w:hanging="360"/>
      </w:pPr>
      <w:r>
        <w:rPr>
          <w:rFonts w:ascii="Calibri" w:hAnsi="Calibri"/>
          <w:b/>
          <w:color w:val="525866"/>
          <w:sz w:val="22"/>
        </w:rPr>
        <w:t xml:space="preserve">NS Merger Commentary: </w:t>
      </w:r>
      <w:r>
        <w:rPr>
          <w:rFonts w:ascii="Calibri" w:hAnsi="Calibri"/>
          <w:color w:val="525866"/>
          <w:sz w:val="22"/>
        </w:rPr>
        <w:t>CPKC described the UNP/NS merger as a "slugfest" that "is going to go nine rounds and maybe ten rounds," applying "the 2001 merger standards" with a "high bar." CPKC does "not believe this is necessary" and characterized the merger as bringing "unnecessary risks to North America." Note: This is a competitor's self-interested view, not an objective assessment.</w:t>
      </w:r>
    </w:p>
    <w:p>
      <w:pPr>
        <w:pStyle w:val="Heading3"/>
      </w:pPr>
      <w:r>
        <w:rPr>
          <w:rFonts w:ascii="Calibri" w:hAnsi="Calibri"/>
          <w:b/>
          <w:color w:val="3B4259"/>
          <w:sz w:val="24"/>
        </w:rPr>
        <w:t>Canadian National Railway (CNI) — Wells Fargo Industrials &amp; Materials Conference, June 11, 2026</w:t>
      </w:r>
    </w:p>
    <w:p>
      <w:r>
        <w:rPr>
          <w:rFonts w:ascii="Calibri" w:hAnsi="Calibri"/>
          <w:b/>
          <w:color w:val="525866"/>
          <w:sz w:val="22"/>
        </w:rPr>
        <w:t xml:space="preserve">Relevance: </w:t>
      </w:r>
      <w:r>
        <w:rPr>
          <w:rFonts w:ascii="Calibri" w:hAnsi="Calibri"/>
          <w:color w:val="525866"/>
          <w:sz w:val="22"/>
        </w:rPr>
        <w:t>CNI is a major North American Class I railroad with significant exposure to grain, energy, and metals — all key UNP segments. Its Q2 commentary provides a cross-border read on shared commodity markets.</w:t>
      </w:r>
    </w:p>
    <w:p>
      <w:pPr>
        <w:pStyle w:val="ListBullet"/>
        <w:ind w:left="360" w:hanging="360"/>
      </w:pPr>
      <w:r>
        <w:rPr>
          <w:rFonts w:ascii="Calibri" w:hAnsi="Calibri"/>
          <w:b/>
          <w:color w:val="525866"/>
          <w:sz w:val="22"/>
        </w:rPr>
        <w:t xml:space="preserve">Volume: </w:t>
      </w:r>
      <w:r>
        <w:rPr>
          <w:rFonts w:ascii="Calibri" w:hAnsi="Calibri"/>
          <w:color w:val="525866"/>
          <w:sz w:val="22"/>
        </w:rPr>
        <w:t>RTMs trending "plus 4% or so quarter to date" in Q2, "a little bit ahead of our expectations." Primary drivers: grain ("record crops" in Canada and U.S.), potash ("more strength than expected"), and energy ("really, really strong on the refined products as well as the NGLs"). Metals "more resilient than what we would have thought given the significant tariffs."</w:t>
      </w:r>
    </w:p>
    <w:p>
      <w:pPr>
        <w:pStyle w:val="ListBullet"/>
        <w:ind w:left="360" w:hanging="360"/>
      </w:pPr>
      <w:r>
        <w:rPr>
          <w:rFonts w:ascii="Calibri" w:hAnsi="Calibri"/>
          <w:b/>
          <w:color w:val="525866"/>
          <w:sz w:val="22"/>
        </w:rPr>
        <w:t xml:space="preserve">Grain: </w:t>
      </w:r>
      <w:r>
        <w:rPr>
          <w:rFonts w:ascii="Calibri" w:hAnsi="Calibri"/>
          <w:color w:val="525866"/>
          <w:sz w:val="22"/>
        </w:rPr>
        <w:t>"Strength in grain, Canada grain, US. We're talking about some record crops here." Resolution of U.S.-China soybean and Canada-China canola disputes cited as key drivers. Strong positive read-through for UNP's grain and grain products segment.</w:t>
      </w:r>
    </w:p>
    <w:p>
      <w:pPr>
        <w:pStyle w:val="ListBullet"/>
        <w:ind w:left="360" w:hanging="360"/>
      </w:pPr>
      <w:r>
        <w:rPr>
          <w:rFonts w:ascii="Calibri" w:hAnsi="Calibri"/>
          <w:b/>
          <w:color w:val="525866"/>
          <w:sz w:val="22"/>
        </w:rPr>
        <w:t xml:space="preserve">Pricing: </w:t>
      </w:r>
      <w:r>
        <w:rPr>
          <w:rFonts w:ascii="Calibri" w:hAnsi="Calibri"/>
          <w:color w:val="525866"/>
          <w:sz w:val="22"/>
        </w:rPr>
        <w:t>"We price to the value of our service. We price ahead of our rail cost inflation and we sell into our capacity." Expects "sequential revenue growth" and "acceleration" from a yield perspective in Q2. "All of the rails are going to benefit from the fuel surcharge."</w:t>
      </w:r>
    </w:p>
    <w:p>
      <w:pPr>
        <w:pStyle w:val="ListBullet"/>
        <w:ind w:left="360" w:hanging="360"/>
      </w:pPr>
      <w:r>
        <w:rPr>
          <w:rFonts w:ascii="Calibri" w:hAnsi="Calibri"/>
          <w:b/>
          <w:color w:val="525866"/>
          <w:sz w:val="22"/>
        </w:rPr>
        <w:t xml:space="preserve">Fuel Surcharge Lag: </w:t>
      </w:r>
      <w:r>
        <w:rPr>
          <w:rFonts w:ascii="Calibri" w:hAnsi="Calibri"/>
          <w:color w:val="525866"/>
          <w:sz w:val="22"/>
        </w:rPr>
        <w:t>"The lag of the fuel surcharge is going to be somewhere around 3 to 4 pennies of EPS and 200 basis points on the OR" for Q2 2026. This is a direct and quantified read-through for UNP's Q2 operating ratio headwind from fuel surcharge lag.</w:t>
      </w:r>
    </w:p>
    <w:p>
      <w:pPr>
        <w:pStyle w:val="ListBullet"/>
        <w:ind w:left="360" w:hanging="360"/>
      </w:pPr>
      <w:r>
        <w:rPr>
          <w:rFonts w:ascii="Calibri" w:hAnsi="Calibri"/>
          <w:b/>
          <w:color w:val="525866"/>
          <w:sz w:val="22"/>
        </w:rPr>
        <w:t xml:space="preserve">H2 2026 Caution: </w:t>
      </w:r>
      <w:r>
        <w:rPr>
          <w:rFonts w:ascii="Calibri" w:hAnsi="Calibri"/>
          <w:color w:val="525866"/>
          <w:sz w:val="22"/>
        </w:rPr>
        <w:t>"The macro is still murky." Challenging grain comps in H2 due to "all time record grain months in September October November December" of the prior year. August and September could be "a little weaker" before October–December "run flat out."</w:t>
      </w:r>
    </w:p>
    <w:p>
      <w:pPr>
        <w:pStyle w:val="ListBullet"/>
        <w:ind w:left="360" w:hanging="360"/>
      </w:pPr>
      <w:r>
        <w:rPr>
          <w:rFonts w:ascii="Calibri" w:hAnsi="Calibri"/>
          <w:b/>
          <w:color w:val="525866"/>
          <w:sz w:val="22"/>
        </w:rPr>
        <w:t xml:space="preserve">NS Merger Commentary: </w:t>
      </w:r>
      <w:r>
        <w:rPr>
          <w:rFonts w:ascii="Calibri" w:hAnsi="Calibri"/>
          <w:color w:val="525866"/>
          <w:sz w:val="22"/>
        </w:rPr>
        <w:t>"We are not anti merger. We are pro competition." CNI believes the application "has not met the requirements" under the new merger rules. Expects "significant concessions to the other class one carriers" if approved. Note: Competitor perspective; UNP management has characterized concessions as effectively zero.</w:t>
      </w:r>
    </w:p>
    <w:p>
      <w:pPr>
        <w:pStyle w:val="Heading3"/>
      </w:pPr>
      <w:r>
        <w:rPr>
          <w:rFonts w:ascii="Calibri" w:hAnsi="Calibri"/>
          <w:b/>
          <w:color w:val="3B4259"/>
          <w:sz w:val="24"/>
        </w:rPr>
        <w:t>Summary Read-Through Matrix</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Peer</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Volume Signal</w:t>
            </w:r>
          </w:p>
        </w:tc>
        <w:tc>
          <w:tcPr>
            <w:tcW w:type="dxa" w:w="1234"/>
            <w:shd w:val="clear" w:color="auto" w:fill="3B4259"/>
          </w:tcPr>
          <w:p>
            <w:r>
              <w:rPr>
                <w:rFonts w:ascii="Calibri" w:hAnsi="Calibri"/>
                <w:b/>
                <w:color w:val="FFFFFF"/>
                <w:sz w:val="22"/>
              </w:rPr>
              <w:t>Pricing Signal</w:t>
            </w:r>
          </w:p>
        </w:tc>
        <w:tc>
          <w:tcPr>
            <w:tcW w:type="dxa" w:w="1234"/>
            <w:shd w:val="clear" w:color="auto" w:fill="3B4259"/>
          </w:tcPr>
          <w:p>
            <w:r>
              <w:rPr>
                <w:rFonts w:ascii="Calibri" w:hAnsi="Calibri"/>
                <w:b/>
                <w:color w:val="FFFFFF"/>
                <w:sz w:val="22"/>
              </w:rPr>
              <w:t>Fuel Signal</w:t>
            </w:r>
          </w:p>
        </w:tc>
        <w:tc>
          <w:tcPr>
            <w:tcW w:type="dxa" w:w="1234"/>
            <w:shd w:val="clear" w:color="auto" w:fill="3B4259"/>
          </w:tcPr>
          <w:p>
            <w:r>
              <w:rPr>
                <w:rFonts w:ascii="Calibri" w:hAnsi="Calibri"/>
                <w:b/>
                <w:color w:val="FFFFFF"/>
                <w:sz w:val="22"/>
              </w:rPr>
              <w:t>Key UNP Segment Read-Through</w:t>
            </w:r>
          </w:p>
        </w:tc>
        <w:tc>
          <w:tcPr>
            <w:tcW w:type="dxa" w:w="1234"/>
            <w:shd w:val="clear" w:color="auto" w:fill="3B4259"/>
          </w:tcPr>
          <w:p>
            <w:r>
              <w:rPr>
                <w:rFonts w:ascii="Calibri" w:hAnsi="Calibri"/>
                <w:b/>
                <w:color w:val="FFFFFF"/>
                <w:sz w:val="22"/>
              </w:rPr>
              <w:t>Overall Signal</w:t>
            </w:r>
          </w:p>
        </w:tc>
      </w:tr>
      <w:tr>
        <w:tc>
          <w:tcPr>
            <w:tcW w:type="dxa" w:w="1234"/>
          </w:tcPr>
          <w:p>
            <w:r>
              <w:rPr>
                <w:rFonts w:ascii="Calibri" w:hAnsi="Calibri"/>
                <w:sz w:val="22"/>
              </w:rPr>
              <w:t>CSX</w:t>
            </w:r>
          </w:p>
        </w:tc>
        <w:tc>
          <w:tcPr>
            <w:tcW w:type="dxa" w:w="1234"/>
          </w:tcPr>
          <w:p>
            <w:r>
              <w:rPr>
                <w:rFonts w:ascii="Calibri" w:hAnsi="Calibri"/>
                <w:sz w:val="22"/>
              </w:rPr>
              <w:t>Jul 22, 2026</w:t>
            </w:r>
          </w:p>
        </w:tc>
        <w:tc>
          <w:tcPr>
            <w:tcW w:type="dxa" w:w="1234"/>
          </w:tcPr>
          <w:p>
            <w:r>
              <w:rPr>
                <w:rFonts w:ascii="Calibri" w:hAnsi="Calibri"/>
                <w:b/>
                <w:color w:val="30A46C"/>
                <w:sz w:val="22"/>
              </w:rPr>
              <w:t>+6% YoY total; intermodal +9%</w:t>
            </w:r>
          </w:p>
        </w:tc>
        <w:tc>
          <w:tcPr>
            <w:tcW w:type="dxa" w:w="1234"/>
          </w:tcPr>
          <w:p>
            <w:r>
              <w:rPr>
                <w:rFonts w:ascii="Calibri" w:hAnsi="Calibri"/>
                <w:b/>
                <w:color w:val="30A46C"/>
                <w:sz w:val="22"/>
              </w:rPr>
              <w:t>Core pricing at/above plan; RPU +4%</w:t>
            </w:r>
          </w:p>
        </w:tc>
        <w:tc>
          <w:tcPr>
            <w:tcW w:type="dxa" w:w="1234"/>
          </w:tcPr>
          <w:p>
            <w:r>
              <w:rPr>
                <w:rFonts w:ascii="Calibri" w:hAnsi="Calibri"/>
                <w:b/>
                <w:color w:val="E5484D"/>
                <w:sz w:val="22"/>
              </w:rPr>
              <w:t>160 bps OR headwind; surcharge offsets</w:t>
            </w:r>
          </w:p>
        </w:tc>
        <w:tc>
          <w:tcPr>
            <w:tcW w:type="dxa" w:w="1234"/>
          </w:tcPr>
          <w:p>
            <w:r>
              <w:rPr>
                <w:rFonts w:ascii="Calibri" w:hAnsi="Calibri"/>
                <w:sz w:val="22"/>
              </w:rPr>
              <w:t>Intermodal, merchandise, coal, agriculture</w:t>
            </w:r>
          </w:p>
        </w:tc>
        <w:tc>
          <w:tcPr>
            <w:tcW w:type="dxa" w:w="1234"/>
          </w:tcPr>
          <w:p>
            <w:r>
              <w:rPr>
                <w:rFonts w:ascii="Calibri" w:hAnsi="Calibri"/>
                <w:b/>
                <w:color w:val="30A46C"/>
                <w:sz w:val="22"/>
              </w:rPr>
              <w:t>Strongly Positive</w:t>
            </w:r>
          </w:p>
        </w:tc>
      </w:tr>
      <w:tr>
        <w:tc>
          <w:tcPr>
            <w:tcW w:type="dxa" w:w="1234"/>
          </w:tcPr>
          <w:p>
            <w:r>
              <w:rPr>
                <w:rFonts w:ascii="Calibri" w:hAnsi="Calibri"/>
                <w:sz w:val="22"/>
              </w:rPr>
              <w:t>JBHT</w:t>
            </w:r>
          </w:p>
        </w:tc>
        <w:tc>
          <w:tcPr>
            <w:tcW w:type="dxa" w:w="1234"/>
          </w:tcPr>
          <w:p>
            <w:r>
              <w:rPr>
                <w:rFonts w:ascii="Calibri" w:hAnsi="Calibri"/>
                <w:sz w:val="22"/>
              </w:rPr>
              <w:t>Jul 15, 2026</w:t>
            </w:r>
          </w:p>
        </w:tc>
        <w:tc>
          <w:tcPr>
            <w:tcW w:type="dxa" w:w="1234"/>
          </w:tcPr>
          <w:p>
            <w:r>
              <w:rPr>
                <w:rFonts w:ascii="Calibri" w:hAnsi="Calibri"/>
                <w:b/>
                <w:color w:val="30A46C"/>
                <w:sz w:val="22"/>
              </w:rPr>
              <w:t>Record 578K loads; +10% YoY</w:t>
            </w:r>
          </w:p>
        </w:tc>
        <w:tc>
          <w:tcPr>
            <w:tcW w:type="dxa" w:w="1234"/>
          </w:tcPr>
          <w:p>
            <w:r>
              <w:rPr>
                <w:rFonts w:ascii="Calibri" w:hAnsi="Calibri"/>
                <w:b/>
                <w:color w:val="30A46C"/>
                <w:sz w:val="22"/>
              </w:rPr>
              <w:t>Value prop strongest in decade; 2027 bid season opportunity</w:t>
            </w:r>
          </w:p>
        </w:tc>
        <w:tc>
          <w:tcPr>
            <w:tcW w:type="dxa" w:w="1234"/>
          </w:tcPr>
          <w:p>
            <w:r>
              <w:rPr>
                <w:rFonts w:ascii="Calibri" w:hAnsi="Calibri"/>
                <w:b/>
                <w:color w:val="E5484D"/>
                <w:sz w:val="22"/>
              </w:rPr>
              <w:t>~100 bps OR headwind</w:t>
            </w:r>
          </w:p>
        </w:tc>
        <w:tc>
          <w:tcPr>
            <w:tcW w:type="dxa" w:w="1234"/>
          </w:tcPr>
          <w:p>
            <w:r>
              <w:rPr>
                <w:rFonts w:ascii="Calibri" w:hAnsi="Calibri"/>
                <w:sz w:val="22"/>
              </w:rPr>
              <w:t>Domestic intermodal (direct customer)</w:t>
            </w:r>
          </w:p>
        </w:tc>
        <w:tc>
          <w:tcPr>
            <w:tcW w:type="dxa" w:w="1234"/>
          </w:tcPr>
          <w:p>
            <w:r>
              <w:rPr>
                <w:rFonts w:ascii="Calibri" w:hAnsi="Calibri"/>
                <w:b/>
                <w:color w:val="30A46C"/>
                <w:sz w:val="22"/>
              </w:rPr>
              <w:t>Strongly Positive</w:t>
            </w:r>
          </w:p>
        </w:tc>
      </w:tr>
      <w:tr>
        <w:tc>
          <w:tcPr>
            <w:tcW w:type="dxa" w:w="1234"/>
          </w:tcPr>
          <w:p>
            <w:r>
              <w:rPr>
                <w:rFonts w:ascii="Calibri" w:hAnsi="Calibri"/>
                <w:sz w:val="22"/>
              </w:rPr>
              <w:t>CPKC</w:t>
            </w:r>
          </w:p>
        </w:tc>
        <w:tc>
          <w:tcPr>
            <w:tcW w:type="dxa" w:w="1234"/>
          </w:tcPr>
          <w:p>
            <w:r>
              <w:rPr>
                <w:rFonts w:ascii="Calibri" w:hAnsi="Calibri"/>
                <w:sz w:val="22"/>
              </w:rPr>
              <w:t>Jun 10, 2026</w:t>
            </w:r>
          </w:p>
        </w:tc>
        <w:tc>
          <w:tcPr>
            <w:tcW w:type="dxa" w:w="1234"/>
          </w:tcPr>
          <w:p>
            <w:r>
              <w:rPr>
                <w:rFonts w:ascii="Calibri" w:hAnsi="Calibri"/>
                <w:b/>
                <w:color w:val="30A46C"/>
                <w:sz w:val="22"/>
              </w:rPr>
              <w:t>RTMs +3.5–4.5%; grain record; auto strong</w:t>
            </w:r>
          </w:p>
        </w:tc>
        <w:tc>
          <w:tcPr>
            <w:tcW w:type="dxa" w:w="1234"/>
          </w:tcPr>
          <w:p>
            <w:r>
              <w:rPr>
                <w:rFonts w:ascii="Calibri" w:hAnsi="Calibri"/>
                <w:b/>
                <w:color w:val="30A46C"/>
                <w:sz w:val="22"/>
              </w:rPr>
              <w:t>Pricing 3–4.5%; disciplined</w:t>
            </w:r>
          </w:p>
        </w:tc>
        <w:tc>
          <w:tcPr>
            <w:tcW w:type="dxa" w:w="1234"/>
          </w:tcPr>
          <w:p>
            <w:r>
              <w:rPr>
                <w:rFonts w:ascii="Calibri" w:hAnsi="Calibri"/>
                <w:b/>
                <w:color w:val="E5484D"/>
                <w:sz w:val="22"/>
              </w:rPr>
              <w:t>"Fuel will be a challenge"</w:t>
            </w:r>
          </w:p>
        </w:tc>
        <w:tc>
          <w:tcPr>
            <w:tcW w:type="dxa" w:w="1234"/>
          </w:tcPr>
          <w:p>
            <w:r>
              <w:rPr>
                <w:rFonts w:ascii="Calibri" w:hAnsi="Calibri"/>
                <w:sz w:val="22"/>
              </w:rPr>
              <w:t>Grain, automotive, intermodal, Mexico</w:t>
            </w:r>
          </w:p>
        </w:tc>
        <w:tc>
          <w:tcPr>
            <w:tcW w:type="dxa" w:w="1234"/>
          </w:tcPr>
          <w:p>
            <w:r>
              <w:rPr>
                <w:rFonts w:ascii="Calibri" w:hAnsi="Calibri"/>
                <w:b/>
                <w:color w:val="30A46C"/>
                <w:sz w:val="22"/>
              </w:rPr>
              <w:t>Positive</w:t>
            </w:r>
          </w:p>
        </w:tc>
      </w:tr>
      <w:tr>
        <w:tc>
          <w:tcPr>
            <w:tcW w:type="dxa" w:w="1234"/>
          </w:tcPr>
          <w:p>
            <w:r>
              <w:rPr>
                <w:rFonts w:ascii="Calibri" w:hAnsi="Calibri"/>
                <w:sz w:val="22"/>
              </w:rPr>
              <w:t>CNI</w:t>
            </w:r>
          </w:p>
        </w:tc>
        <w:tc>
          <w:tcPr>
            <w:tcW w:type="dxa" w:w="1234"/>
          </w:tcPr>
          <w:p>
            <w:r>
              <w:rPr>
                <w:rFonts w:ascii="Calibri" w:hAnsi="Calibri"/>
                <w:sz w:val="22"/>
              </w:rPr>
              <w:t>Jun 11, 2026</w:t>
            </w:r>
          </w:p>
        </w:tc>
        <w:tc>
          <w:tcPr>
            <w:tcW w:type="dxa" w:w="1234"/>
          </w:tcPr>
          <w:p>
            <w:r>
              <w:rPr>
                <w:rFonts w:ascii="Calibri" w:hAnsi="Calibri"/>
                <w:b/>
                <w:color w:val="30A46C"/>
                <w:sz w:val="22"/>
              </w:rPr>
              <w:t>RTMs +4%; grain/potash/energy strong</w:t>
            </w:r>
          </w:p>
        </w:tc>
        <w:tc>
          <w:tcPr>
            <w:tcW w:type="dxa" w:w="1234"/>
          </w:tcPr>
          <w:p>
            <w:r>
              <w:rPr>
                <w:rFonts w:ascii="Calibri" w:hAnsi="Calibri"/>
                <w:b/>
                <w:color w:val="30A46C"/>
                <w:sz w:val="22"/>
              </w:rPr>
              <w:t>Sequential acceleration; fuel surcharge benefit</w:t>
            </w:r>
          </w:p>
        </w:tc>
        <w:tc>
          <w:tcPr>
            <w:tcW w:type="dxa" w:w="1234"/>
          </w:tcPr>
          <w:p>
            <w:r>
              <w:rPr>
                <w:rFonts w:ascii="Calibri" w:hAnsi="Calibri"/>
                <w:b/>
                <w:color w:val="E5484D"/>
                <w:sz w:val="22"/>
              </w:rPr>
              <w:t>3–4 cents EPS lag; 200 bps OR headwind</w:t>
            </w:r>
          </w:p>
        </w:tc>
        <w:tc>
          <w:tcPr>
            <w:tcW w:type="dxa" w:w="1234"/>
          </w:tcPr>
          <w:p>
            <w:r>
              <w:rPr>
                <w:rFonts w:ascii="Calibri" w:hAnsi="Calibri"/>
                <w:sz w:val="22"/>
              </w:rPr>
              <w:t>Grain, energy, metals, bulk</w:t>
            </w:r>
          </w:p>
        </w:tc>
        <w:tc>
          <w:tcPr>
            <w:tcW w:type="dxa" w:w="1234"/>
          </w:tcPr>
          <w:p>
            <w:r>
              <w:rPr>
                <w:rFonts w:ascii="Calibri" w:hAnsi="Calibri"/>
                <w:b/>
                <w:color w:val="30A46C"/>
                <w:sz w:val="22"/>
              </w:rPr>
              <w:t>Positive</w:t>
            </w:r>
          </w:p>
        </w:tc>
      </w:tr>
    </w:tbl>
    <w:p>
      <w:r>
        <w:rPr>
          <w:rFonts w:ascii="Calibri" w:hAnsi="Calibri"/>
          <w:b/>
          <w:color w:val="525866"/>
          <w:sz w:val="22"/>
        </w:rPr>
        <w:t xml:space="preserve">Aggregate peer read-through: </w:t>
      </w:r>
      <w:r>
        <w:rPr>
          <w:rFonts w:ascii="Calibri" w:hAnsi="Calibri"/>
          <w:color w:val="525866"/>
          <w:sz w:val="22"/>
        </w:rPr>
        <w:t>All four peers point to a strong Q2 freight environment with accelerating truck-to-rail conversions, record or near-record intermodal volumes, solid grain and bulk demand, and improving pricing. The universal headwind is fuel cost lag on the operating ratio, which is well-understood and partially offset by surcharge revenue. The CSX print (same-day, same quarter) is the most direct and actionable read-through — its raised guidance and record revenue quarter set a constructive tone for UNP's call tomorrow morning.</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