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United Rentals (URI) to build a well-informed earnings preview. Let me gather recent data.Let me read the most recent earnings call and release, plus the year-ago Q2 call for comparison.Let me pull the year-ago Q2 (2025Q2) release for comparison, recent news, and the stock price trend.Let me read the year-ago Q2 2025 release for comparison baselines, and check recent analyst/news activity.I now have what I need. Here's the earnings preview.</w:t>
      </w:r>
    </w:p>
    <w:p>
      <w:r>
        <w:pict>
          <v:rect style="width:0;height:1.5pt" o:hralign="center" o:hrstd="t" o:hr="t"/>
        </w:pict>
      </w:r>
    </w:p>
    <w:bookmarkStart w:id="19" w:name="X763034102049b974f131dae19e125b31a09eb39"/>
    <w:p>
      <w:pPr>
        <w:pStyle w:val="Heading1"/>
      </w:pPr>
      <w:r>
        <w:t xml:space="preserve">United Rentals (URI) — Q2 2026 Earnings Preview</w:t>
      </w:r>
    </w:p>
    <w:bookmarkStart w:id="9" w:name="Xa2c061de6025440e4d5fa6fc23a8d8c781377f6"/>
    <w:p>
      <w:pPr>
        <w:pStyle w:val="Heading3"/>
      </w:pPr>
      <w:r>
        <w:t xml:space="preserve">Reports before market open, Wednesday, July 22, 2026 | Call at 8:30 a.m. ET</w:t>
      </w:r>
    </w:p>
    <w:bookmarkEnd w:id="9"/>
    <w:bookmarkStart w:id="10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URI heads into Q2 with strong momentum but a demanding stock. Management raised full-year guidance at Q1, the large-project/data-center/power demand backdrop remains robust, and a self-help cost/restructuring program is running ahead of plan. The offset: the stock has re-rated sharply, expectations are high, and this name has a history of violent post-earnings moves in both directions.</w:t>
      </w:r>
    </w:p>
    <w:p>
      <w:r>
        <w:pict>
          <v:rect style="width:0;height:1.5pt" o:hralign="center" o:hrstd="t" o:hr="t"/>
        </w:pict>
      </w:r>
    </w:p>
    <w:bookmarkEnd w:id="10"/>
    <w:bookmarkStart w:id="11" w:name="where-the-stock-sits"/>
    <w:p>
      <w:pPr>
        <w:pStyle w:val="Heading2"/>
      </w:pPr>
      <w:r>
        <w:t xml:space="preserve">Where the stock sits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Last close (7/21/26): ~</w:t>
      </w:r>
      <m:oMath>
        <m:r>
          <m:t>1</m:t>
        </m:r>
        <m:r>
          <m:rPr>
            <m:sty m:val="p"/>
          </m:rPr>
          <m:t>,</m:t>
        </m:r>
        <m:r>
          <m:t>014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11</m:t>
        </m:r>
      </m:oMath>
      <w:r>
        <w:rPr>
          <w:b/>
          <w:bCs/>
        </w:rPr>
        <w:t xml:space="preserve">1,140 on 6/25)</w:t>
      </w:r>
      <w:r>
        <w:t xml:space="preserve"> </w:t>
      </w:r>
      <w:r>
        <w:t xml:space="preserve">— some froth has come out into the print.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Trailing 12 months: up ~30%; YTD 2026: up ~25%</w:t>
      </w:r>
      <w:r>
        <w:t xml:space="preserve"> </w:t>
      </w:r>
      <w:r>
        <w:t xml:space="preserve">(from ~$809 at YE2025). The shares have more than recovered the post-Q4 selloff.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Event risk is real.</w:t>
      </w:r>
      <w:r>
        <w:t xml:space="preserve"> </w:t>
      </w:r>
      <w:r>
        <w:t xml:space="preserve">The Q1 print (reported 4/22) drove a</w:t>
      </w:r>
      <w:r>
        <w:t xml:space="preserve"> </w:t>
      </w:r>
      <w:r>
        <w:rPr>
          <w:b/>
          <w:bCs/>
        </w:rPr>
        <w:t xml:space="preserve">~+23% one-day pop</w:t>
      </w:r>
      <w:r>
        <w:t xml:space="preserve"> </w:t>
      </w:r>
      <w:r>
        <w:t xml:space="preserve">(from ~</w:t>
      </w:r>
      <m:oMath>
        <m:r>
          <m:t>803</m:t>
        </m:r>
        <m:r>
          <m:t>t</m:t>
        </m:r>
        <m:r>
          <m:t>o</m:t>
        </m:r>
        <m:r>
          <m:t> </m:t>
        </m:r>
      </m:oMath>
      <w:r>
        <w:t xml:space="preserve">987), while the Q4 2025 print (1/29) drove a **~-13% drop**. Positioning and the reaction function matter as much as the numbers.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Interpretation:</w:t>
      </w:r>
      <w:r>
        <w:t xml:space="preserve"> </w:t>
      </w:r>
      <w:r>
        <w:t xml:space="preserve">Near all-time highs after a big run, the bar is elevated. A simple in-line quarter with an unchanged guide may not satisfy; the market is likely looking for another raise and continued margin/productivity proof points.</w:t>
      </w:r>
    </w:p>
    <w:p>
      <w:r>
        <w:pict>
          <v:rect style="width:0;height:1.5pt" o:hralign="center" o:hrstd="t" o:hr="t"/>
        </w:pict>
      </w:r>
    </w:p>
    <w:bookmarkEnd w:id="11"/>
    <w:bookmarkStart w:id="12" w:name="the-comp-youre-lapping-q2-2025-actuals"/>
    <w:p>
      <w:pPr>
        <w:pStyle w:val="Heading2"/>
      </w:pPr>
      <w:r>
        <w:t xml:space="preserve">The comp you're lapping (Q2 2025 actuals)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$3.943B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Rental revenue</w:t>
            </w:r>
          </w:p>
        </w:tc>
        <w:tc>
          <w:tcPr/>
          <w:p>
            <w:pPr>
              <w:pStyle w:val="Compact"/>
            </w:pPr>
            <w:r>
              <w:t xml:space="preserve">$3.415B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 (margin)</w:t>
            </w:r>
          </w:p>
        </w:tc>
        <w:tc>
          <w:tcPr/>
          <w:p>
            <w:pPr>
              <w:pStyle w:val="Compact"/>
            </w:pPr>
            <w:r>
              <w:t xml:space="preserve">$1.810B (45.9%)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income / GAAP EPS</w:t>
            </w:r>
          </w:p>
        </w:tc>
        <w:tc>
          <w:tcPr/>
          <w:p>
            <w:pPr>
              <w:pStyle w:val="Compact"/>
            </w:pPr>
            <w:r>
              <w:t xml:space="preserve">$622M / $9.59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$10.47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Fleet productivity</w:t>
            </w:r>
          </w:p>
        </w:tc>
        <w:tc>
          <w:tcPr/>
          <w:p>
            <w:pPr>
              <w:pStyle w:val="Compact"/>
            </w:pPr>
            <w:r>
              <w:t xml:space="preserve">+3.3%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Avg. OEC</w:t>
            </w:r>
          </w:p>
        </w:tc>
        <w:tc>
          <w:tcPr/>
          <w:p>
            <w:pPr>
              <w:pStyle w:val="Compact"/>
            </w:pPr>
            <w:r>
              <w:t xml:space="preserve">+3.6%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 Rentals rental rev / margin</w:t>
            </w:r>
          </w:p>
        </w:tc>
        <w:tc>
          <w:tcPr/>
          <w:p>
            <w:pPr>
              <w:pStyle w:val="Compact"/>
            </w:pPr>
            <w:r>
              <w:t xml:space="preserve">$2.268B / 35.1% (−120 bps)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Specialty rental rev / margin</w:t>
            </w:r>
          </w:p>
        </w:tc>
        <w:tc>
          <w:tcPr/>
          <w:p>
            <w:pPr>
              <w:pStyle w:val="Compact"/>
            </w:pPr>
            <w:r>
              <w:t xml:space="preserve">$1.147B / 45.8% (−220 bps)</w:t>
            </w:r>
          </w:p>
        </w:tc>
      </w:tr>
    </w:tbl>
    <w:p>
      <w:pPr>
        <w:pStyle w:val="BodyText"/>
      </w:pPr>
      <w:r>
        <w:t xml:space="preserve">Note Q2 2025 was a</w:t>
      </w:r>
      <w:r>
        <w:t xml:space="preserve"> </w:t>
      </w:r>
      <w:r>
        <w:rPr>
          <w:b/>
          <w:bCs/>
        </w:rPr>
        <w:t xml:space="preserve">tough margin comp</w:t>
      </w:r>
      <w:r>
        <w:t xml:space="preserve"> </w:t>
      </w:r>
      <w:r>
        <w:t xml:space="preserve">— EBITDA margin fell 100 bps YoY that quarter on delivery/labor cost variability and used-market normalization, so the YoY margin bar this year is more manageable.</w:t>
      </w:r>
    </w:p>
    <w:p>
      <w:r>
        <w:pict>
          <v:rect style="width:0;height:1.5pt" o:hralign="center" o:hrstd="t" o:hr="t"/>
        </w:pict>
      </w:r>
    </w:p>
    <w:bookmarkEnd w:id="12"/>
    <w:bookmarkStart w:id="13" w:name="recent-trajectory-q1-2026-actuals"/>
    <w:p>
      <w:pPr>
        <w:pStyle w:val="Heading2"/>
      </w:pPr>
      <w:r>
        <w:t xml:space="preserve">Recent trajectory (Q1 2026 actuals)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Total revenue</w:t>
      </w:r>
      <w:r>
        <w:rPr>
          <w:b/>
          <w:bCs/>
        </w:rPr>
        <w:t xml:space="preserve"> </w:t>
      </w:r>
      <m:oMath>
        <m:r>
          <m:t>3.985</m:t>
        </m:r>
        <m:r>
          <m:t>B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7</m:t>
        </m:r>
      </m:oMath>
      <w:r>
        <w:rPr>
          <w:b/>
          <w:bCs/>
        </w:rPr>
        <w:t xml:space="preserve">3.419B (+8.7%)</w:t>
      </w:r>
      <w:r>
        <w:t xml:space="preserve">, a Q1 record.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Adj. EBITDA $1.759B; margin 44.1%, +60 bps YoY excluding the prior-year H&amp;E termination benefit.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 $9.71, +10% YoY.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Fleet productivity +2.3%</w:t>
      </w:r>
      <w:r>
        <w:t xml:space="preserve"> </w:t>
      </w:r>
      <w:r>
        <w:t xml:space="preserve">(on OEC +5.7%, inflation bogey −1.5%), plus +2.2% from ancillary/re-rent.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Specialty +13.8%</w:t>
      </w:r>
      <w:r>
        <w:t xml:space="preserve"> </w:t>
      </w:r>
      <w:r>
        <w:t xml:space="preserve">(17 cold starts),</w:t>
      </w:r>
      <w:r>
        <w:t xml:space="preserve"> </w:t>
      </w:r>
      <w:r>
        <w:rPr>
          <w:b/>
          <w:bCs/>
        </w:rPr>
        <w:t xml:space="preserve">Gen Rentals +6.2%</w:t>
      </w:r>
      <w:r>
        <w:t xml:space="preserve"> </w:t>
      </w:r>
      <w:r>
        <w:t xml:space="preserve">— notably,</w:t>
      </w:r>
      <w:r>
        <w:t xml:space="preserve"> </w:t>
      </w:r>
      <w:r>
        <w:rPr>
          <w:b/>
          <w:bCs/>
        </w:rPr>
        <w:t xml:space="preserve">gen rent rental gross margin +150 bps</w:t>
      </w:r>
      <w:r>
        <w:t xml:space="preserve"> </w:t>
      </w:r>
      <w:r>
        <w:t xml:space="preserve">as cost initiatives took hold.</w:t>
      </w:r>
    </w:p>
    <w:p>
      <w:pPr>
        <w:pStyle w:val="Compact"/>
        <w:numPr>
          <w:ilvl w:val="0"/>
          <w:numId w:val="1002"/>
        </w:numPr>
      </w:pPr>
      <w:r>
        <w:t xml:space="preserve">Used: sold $680M of OEC at a</w:t>
      </w:r>
      <w:r>
        <w:t xml:space="preserve"> </w:t>
      </w:r>
      <w:r>
        <w:rPr>
          <w:b/>
          <w:bCs/>
        </w:rPr>
        <w:t xml:space="preserve">51.5% recovery rate / 47.4% adjusted margin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3"/>
    <w:bookmarkStart w:id="14" w:name="whats-already-guided-raised-at-q1-2026"/>
    <w:p>
      <w:pPr>
        <w:pStyle w:val="Heading2"/>
      </w:pPr>
      <w:r>
        <w:t xml:space="preserve">What's already guided (raised at Q1 2026)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FY2026 outlook</w:t>
            </w:r>
          </w:p>
        </w:tc>
        <w:tc>
          <w:tcPr/>
          <w:p>
            <w:pPr>
              <w:pStyle w:val="Compact"/>
            </w:pPr>
            <w:r>
              <w:t xml:space="preserve">Current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$16.9B – $17.4B (~7% growth ex-used at midpoint)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</w:t>
            </w:r>
          </w:p>
        </w:tc>
        <w:tc>
          <w:tcPr/>
          <w:p>
            <w:pPr>
              <w:pStyle w:val="Compact"/>
            </w:pPr>
            <w:r>
              <w:t xml:space="preserve">$7.625B – $7.875B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rental capex</w:t>
            </w:r>
          </w:p>
        </w:tc>
        <w:tc>
          <w:tcPr/>
          <w:p>
            <w:pPr>
              <w:pStyle w:val="Compact"/>
            </w:pPr>
            <w:r>
              <w:t xml:space="preserve">$4.4B – $4.8B (net $2.95B – $3.35B)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 (ex-restructuring)</w:t>
            </w:r>
          </w:p>
        </w:tc>
        <w:tc>
          <w:tcPr/>
          <w:p>
            <w:pPr>
              <w:pStyle w:val="Compact"/>
            </w:pPr>
            <w:r>
              <w:t xml:space="preserve">$2.15B – $2.45B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Used sales</w:t>
            </w:r>
          </w:p>
        </w:tc>
        <w:tc>
          <w:tcPr/>
          <w:p>
            <w:pPr>
              <w:pStyle w:val="Compact"/>
            </w:pPr>
            <w:r>
              <w:t xml:space="preserve">~$1.45B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Capital returns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2.0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1.5B buyback + dividend; ~$32/sh, ~4% yield stated at Q1)</w:t>
            </w:r>
          </w:p>
        </w:tc>
      </w:tr>
    </w:tbl>
    <w:p>
      <w:pPr>
        <w:pStyle w:val="BodyText"/>
      </w:pPr>
      <w:r>
        <w:t xml:space="preserve">Management's stated goal is</w:t>
      </w:r>
      <w:r>
        <w:t xml:space="preserve"> </w:t>
      </w:r>
      <w:r>
        <w:rPr>
          <w:b/>
          <w:bCs/>
        </w:rPr>
        <w:t xml:space="preserve">flat full-year EBITDA margins ex-H&amp;E</w:t>
      </w:r>
      <w:r>
        <w:t xml:space="preserve">, with Q1 running ahead (+60 bps).</w:t>
      </w:r>
    </w:p>
    <w:p>
      <w:r>
        <w:pict>
          <v:rect style="width:0;height:1.5pt" o:hralign="center" o:hrstd="t" o:hr="t"/>
        </w:pict>
      </w:r>
    </w:p>
    <w:bookmarkEnd w:id="14"/>
    <w:bookmarkStart w:id="15" w:name="Xf550e8c2e091832014a5d1cb13ff23abcc438a0"/>
    <w:p>
      <w:pPr>
        <w:pStyle w:val="Heading2"/>
      </w:pPr>
      <w:r>
        <w:t xml:space="preserve">My rough model for Q2 2026 (estimates, not official consensus)</w:t>
      </w:r>
    </w:p>
    <w:p>
      <w:pPr>
        <w:pStyle w:val="FirstParagraph"/>
      </w:pPr>
      <w:r>
        <w:t xml:space="preserve">Applying ~6–8% rental growth on the Q2 2025 base, continued buyback-driven share shrink (diluted shares fell from ~64.9M to ~63.0M YoY), and roughly flat-to-modestly-up margins: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Total revenue: ~</w:t>
      </w:r>
      <m:oMath>
        <m:r>
          <m:t>4.15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4.25B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Adj. EBITDA: ~</w:t>
      </w:r>
      <m:oMath>
        <m:r>
          <m:t>1.90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1.97B (~46% margin)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EPS: ~</w:t>
      </w:r>
      <m:oMath>
        <m:r>
          <m:t>11.30</m:t>
        </m:r>
        <m:r>
          <m:rPr>
            <m:sty m:val="p"/>
          </m:rPr>
          <m:t>–</m:t>
        </m:r>
      </m:oMath>
      <w:r>
        <w:rPr>
          <w:b/>
          <w:bCs/>
        </w:rPr>
        <w:t xml:space="preserve">11.80</w:t>
      </w:r>
    </w:p>
    <w:p>
      <w:pPr>
        <w:pStyle w:val="FirstParagraph"/>
      </w:pPr>
      <w:r>
        <w:t xml:space="preserve">Treat these as a framework, not a target — I don't have verified Street consensus in hand, so weight management's commentary and the full-year guide more heavily.</w:t>
      </w:r>
    </w:p>
    <w:p>
      <w:r>
        <w:pict>
          <v:rect style="width:0;height:1.5pt" o:hralign="center" o:hrstd="t" o:hr="t"/>
        </w:pict>
      </w:r>
    </w:p>
    <w:bookmarkEnd w:id="15"/>
    <w:bookmarkStart w:id="16" w:name="Xe3705694c662590d2e4f92ad44d6135fd46071b"/>
    <w:p>
      <w:pPr>
        <w:pStyle w:val="Heading2"/>
      </w:pPr>
      <w:r>
        <w:t xml:space="preserve">What actually matters on this print — the watch list</w:t>
      </w:r>
    </w:p>
    <w:p>
      <w:pPr>
        <w:pStyle w:val="FirstParagraph"/>
      </w:pPr>
      <w:r>
        <w:rPr>
          <w:b/>
          <w:bCs/>
        </w:rPr>
        <w:t xml:space="preserve">1. Fleet productivity and the "H2 acceleration" debate.</w:t>
      </w:r>
      <w:r>
        <w:t xml:space="preserve"> </w:t>
      </w:r>
      <w:r>
        <w:t xml:space="preserve">This is the single most-scrutinized metric. It swung from just +0.5% in Q4 2025 (a mix/matting-timing anomaly) to +2.3% in Q1 2026. On the Q1 call, an analyst pushed the idea that easing comps and improving supply/demand set up a</w:t>
      </w:r>
      <w:r>
        <w:t xml:space="preserve"> </w:t>
      </w:r>
      <w:r>
        <w:rPr>
          <w:b/>
          <w:bCs/>
        </w:rPr>
        <w:t xml:space="preserve">sharp acceleration through the year</w:t>
      </w:r>
      <w:r>
        <w:t xml:space="preserve">; management stuck to its "beat the 1.5% inflation bogey" framing and flagged</w:t>
      </w:r>
      <w:r>
        <w:t xml:space="preserve"> </w:t>
      </w:r>
      <w:r>
        <w:rPr>
          <w:b/>
          <w:bCs/>
        </w:rPr>
        <w:t xml:space="preserve">mix as the wildcard</w:t>
      </w:r>
      <w:r>
        <w:t xml:space="preserve">. Watch whether Q2 sustains/accelerates against the +3.3% year-ago comp — and note the</w:t>
      </w:r>
      <w:r>
        <w:t xml:space="preserve"> </w:t>
      </w:r>
      <w:r>
        <w:rPr>
          <w:b/>
          <w:bCs/>
        </w:rPr>
        <w:t xml:space="preserve">matting project that slipped from Q4 2025 into Q2 2026</w:t>
      </w:r>
      <w:r>
        <w:t xml:space="preserve"> </w:t>
      </w:r>
      <w:r>
        <w:t xml:space="preserve">should be a tailwind this quarter.</w:t>
      </w:r>
    </w:p>
    <w:p>
      <w:pPr>
        <w:pStyle w:val="BodyText"/>
      </w:pPr>
      <w:r>
        <w:rPr>
          <w:b/>
          <w:bCs/>
        </w:rPr>
        <w:t xml:space="preserve">2. Margins through the busy season.</w:t>
      </w:r>
      <w:r>
        <w:t xml:space="preserve"> </w:t>
      </w:r>
      <w:r>
        <w:t xml:space="preserve">Q2–Q3 are the peak/most cost-intensive quarters. Management repeatedly flagged</w:t>
      </w:r>
      <w:r>
        <w:t xml:space="preserve"> </w:t>
      </w:r>
      <w:r>
        <w:rPr>
          <w:b/>
          <w:bCs/>
        </w:rPr>
        <w:t xml:space="preserve">delivery/repositioning costs as the key swing factor</w:t>
      </w:r>
      <w:r>
        <w:t xml:space="preserve">, especially as fleet is moved (not just bought) to serve large projects and specialty cold starts. Restructuring is expected to deliver a</w:t>
      </w:r>
      <w:r>
        <w:t xml:space="preserve"> </w:t>
      </w:r>
      <w:r>
        <w:rPr>
          <w:b/>
          <w:bCs/>
        </w:rPr>
        <w:t xml:space="preserve">~$45–50M full-year benefit, recognized linearly</w:t>
      </w:r>
      <w:r>
        <w:t xml:space="preserve"> </w:t>
      </w:r>
      <w:r>
        <w:t xml:space="preserve">(Q1 restructuring charges were $45M; $55–65M planned for the year). Proof that cost discipline holds at peak volume would be a positive surprise.</w:t>
      </w:r>
    </w:p>
    <w:p>
      <w:pPr>
        <w:pStyle w:val="BodyText"/>
      </w:pPr>
      <w:r>
        <w:rPr>
          <w:b/>
          <w:bCs/>
        </w:rPr>
        <w:t xml:space="preserve">3. Another guidance raise?</w:t>
      </w:r>
      <w:r>
        <w:t xml:space="preserve"> </w:t>
      </w:r>
      <w:r>
        <w:t xml:space="preserve">URI raised at both Q2 2025 and Q1 2026. With the stock priced for strength, the question is not whether results are good but whether the</w:t>
      </w:r>
      <w:r>
        <w:t xml:space="preserve"> </w:t>
      </w:r>
      <w:r>
        <w:rPr>
          <w:b/>
          <w:bCs/>
        </w:rPr>
        <w:t xml:space="preserve">guide goes up again</w:t>
      </w:r>
      <w:r>
        <w:t xml:space="preserve"> </w:t>
      </w:r>
      <w:r>
        <w:t xml:space="preserve">and by how much. An unchanged guide could disappoint given positioning.</w:t>
      </w:r>
    </w:p>
    <w:p>
      <w:pPr>
        <w:pStyle w:val="BodyText"/>
      </w:pPr>
      <w:r>
        <w:rPr>
          <w:b/>
          <w:bCs/>
        </w:rPr>
        <w:t xml:space="preserve">4. Specialty vs. general rentals mix.</w:t>
      </w:r>
      <w:r>
        <w:t xml:space="preserve"> </w:t>
      </w:r>
      <w:r>
        <w:t xml:space="preserve">Specialty has been the growth engine (~14% in Q1, target ~40 cold starts for the year), but carries near-term margin drag from repositioning and higher-depreciation lines like matting (~30 bps drag in Q1, vastly improved from 150–200 bps/quarter last year). Watch the cold-start cadence and whether specialty margins keep converging.</w:t>
      </w:r>
    </w:p>
    <w:p>
      <w:pPr>
        <w:pStyle w:val="BodyText"/>
      </w:pPr>
      <w:r>
        <w:rPr>
          <w:b/>
          <w:bCs/>
        </w:rPr>
        <w:t xml:space="preserve">5. End-market color.</w:t>
      </w:r>
      <w:r>
        <w:t xml:space="preserve"> </w:t>
      </w:r>
      <w:r>
        <w:t xml:space="preserve">Bullish drivers: non-residential construction (broad, not just data centers), infrastructure, and</w:t>
      </w:r>
      <w:r>
        <w:t xml:space="preserve"> </w:t>
      </w:r>
      <w:r>
        <w:rPr>
          <w:b/>
          <w:bCs/>
        </w:rPr>
        <w:t xml:space="preserve">power growing double digits</w:t>
      </w:r>
      <w:r>
        <w:t xml:space="preserve">. Local/small-customer markets are characterized as</w:t>
      </w:r>
      <w:r>
        <w:t xml:space="preserve"> </w:t>
      </w:r>
      <w:r>
        <w:rPr>
          <w:b/>
          <w:bCs/>
        </w:rPr>
        <w:t xml:space="preserve">stable</w:t>
      </w:r>
      <w:r>
        <w:t xml:space="preserve">. Two swing factors to listen for:</w:t>
      </w:r>
      <w:r>
        <w:t xml:space="preserve"> </w:t>
      </w:r>
      <w:r>
        <w:rPr>
          <w:b/>
          <w:bCs/>
        </w:rPr>
        <w:t xml:space="preserve">petrochem</w:t>
      </w:r>
      <w:r>
        <w:t xml:space="preserve">, still a YoY drag but a potential future tailwind if it inflects, and whether</w:t>
      </w:r>
      <w:r>
        <w:t xml:space="preserve"> </w:t>
      </w:r>
      <w:r>
        <w:rPr>
          <w:b/>
          <w:bCs/>
        </w:rPr>
        <w:t xml:space="preserve">data-center/mega-project momentum</w:t>
      </w:r>
      <w:r>
        <w:t xml:space="preserve"> </w:t>
      </w:r>
      <w:r>
        <w:t xml:space="preserve">shows any signs of cooling.</w:t>
      </w:r>
    </w:p>
    <w:p>
      <w:pPr>
        <w:pStyle w:val="BodyText"/>
      </w:pPr>
      <w:r>
        <w:rPr>
          <w:b/>
          <w:bCs/>
        </w:rPr>
        <w:t xml:space="preserve">6. Used-equipment market.</w:t>
      </w:r>
      <w:r>
        <w:t xml:space="preserve"> </w:t>
      </w:r>
      <w:r>
        <w:t xml:space="preserve">Recovery rates and adjusted margins (47.4% in Q1) signal how normalized residual values are. On plan to sell ~</w:t>
      </w:r>
      <m:oMath>
        <m:r>
          <m:t>2.8</m:t>
        </m:r>
        <m:r>
          <m:t>B</m:t>
        </m:r>
        <m:r>
          <m:t>o</m:t>
        </m:r>
        <m:r>
          <m:t>f</m:t>
        </m:r>
        <m:r>
          <m:t>O</m:t>
        </m:r>
        <m:r>
          <m:t>E</m:t>
        </m:r>
        <m:r>
          <m:t>C</m:t>
        </m:r>
        <m:r>
          <m:rPr>
            <m:sty m:val="p"/>
          </m:rPr>
          <m:t>(</m:t>
        </m:r>
        <m:r>
          <m:t> </m:t>
        </m:r>
      </m:oMath>
      <w:r>
        <w:t xml:space="preserve">1.45B of proceeds) this year.</w:t>
      </w:r>
    </w:p>
    <w:p>
      <w:pPr>
        <w:pStyle w:val="BodyText"/>
      </w:pPr>
      <w:r>
        <w:rPr>
          <w:b/>
          <w:bCs/>
        </w:rPr>
        <w:t xml:space="preserve">7. Capital allocation &amp; balance sheet.</w:t>
      </w:r>
      <w:r>
        <w:t xml:space="preserve"> </w:t>
      </w:r>
      <w:r>
        <w:t xml:space="preserve">Leverage at</w:t>
      </w:r>
      <w:r>
        <w:t xml:space="preserve"> </w:t>
      </w:r>
      <w:r>
        <w:rPr>
          <w:b/>
          <w:bCs/>
        </w:rPr>
        <w:t xml:space="preserve">1.9x</w:t>
      </w:r>
      <w:r>
        <w:t xml:space="preserve"> </w:t>
      </w:r>
      <w:r>
        <w:t xml:space="preserve">(well within range), a **</w:t>
      </w:r>
      <m:oMath>
        <m:r>
          <m:t>5.0</m:t>
        </m:r>
        <m:r>
          <m:t>B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a</m:t>
        </m:r>
        <m:r>
          <m:t>u</m:t>
        </m:r>
        <m:r>
          <m:t>t</m:t>
        </m:r>
        <m:r>
          <m:t>h</m:t>
        </m:r>
        <m:r>
          <m:t>o</m:t>
        </m:r>
        <m:r>
          <m:t>r</m:t>
        </m:r>
        <m:r>
          <m:t>i</m:t>
        </m:r>
        <m:r>
          <m:t>z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p</m:t>
        </m:r>
        <m:r>
          <m:t>l</m:t>
        </m:r>
        <m:r>
          <m:t>a</m:t>
        </m:r>
        <m:r>
          <m:t>c</m:t>
        </m:r>
        <m:r>
          <m:t>e</m:t>
        </m:r>
        <m:r>
          <m:rPr>
            <m:sty m:val="p"/>
          </m:rPr>
          <m:t>,</m:t>
        </m:r>
        <m:r>
          <m:t> </m:t>
        </m:r>
      </m:oMath>
      <w:r>
        <w:t xml:space="preserve">1.5B of buybacks planned for 2026, and the</w:t>
      </w:r>
      <w:r>
        <w:t xml:space="preserve"> </w:t>
      </w:r>
      <w:r>
        <w:rPr>
          <w:b/>
          <w:bCs/>
        </w:rPr>
        <w:t xml:space="preserve">H.R.1 tax law</w:t>
      </w:r>
      <w:r>
        <w:t xml:space="preserve"> </w:t>
      </w:r>
      <w:r>
        <w:t xml:space="preserve">boosting operating cash flow. Watch for any change to the buyback pace or the dividend ($1.97/qtr).</w:t>
      </w:r>
    </w:p>
    <w:p>
      <w:pPr>
        <w:pStyle w:val="BodyText"/>
      </w:pPr>
      <w:r>
        <w:rPr>
          <w:b/>
          <w:bCs/>
        </w:rPr>
        <w:t xml:space="preserve">8. Tariffs / fleet inflation / fuel.</w:t>
      </w:r>
      <w:r>
        <w:t xml:space="preserve"> </w:t>
      </w:r>
      <w:r>
        <w:t xml:space="preserve">Fleet prices are</w:t>
      </w:r>
      <w:r>
        <w:t xml:space="preserve"> </w:t>
      </w:r>
      <w:r>
        <w:rPr>
          <w:b/>
          <w:bCs/>
        </w:rPr>
        <w:t xml:space="preserve">locked for the year with the ability to flex up</w:t>
      </w:r>
      <w:r>
        <w:t xml:space="preserve">; management signaled no supplier surcharge concerns. Fuel is largely</w:t>
      </w:r>
      <w:r>
        <w:t xml:space="preserve"> </w:t>
      </w:r>
      <w:r>
        <w:rPr>
          <w:b/>
          <w:bCs/>
        </w:rPr>
        <w:t xml:space="preserve">pass-through (delivery calculator) plus hedging</w:t>
      </w:r>
      <w:r>
        <w:t xml:space="preserve"> </w:t>
      </w:r>
      <w:r>
        <w:t xml:space="preserve">on internally consumed diesel — a topic to monitor if diesel prices spike, but historically well-managed (2022 diesel +50% translated to only ~15 bps of margin).</w:t>
      </w:r>
    </w:p>
    <w:p>
      <w:r>
        <w:pict>
          <v:rect style="width:0;height:1.5pt" o:hralign="center" o:hrstd="t" o:hr="t"/>
        </w:pict>
      </w:r>
    </w:p>
    <w:bookmarkEnd w:id="16"/>
    <w:bookmarkStart w:id="17" w:name="bull-vs-bear-into-the-print"/>
    <w:p>
      <w:pPr>
        <w:pStyle w:val="Heading2"/>
      </w:pPr>
      <w:r>
        <w:t xml:space="preserve">Bull vs. bear into the print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Bull:</w:t>
      </w:r>
      <w:r>
        <w:t xml:space="preserve"> </w:t>
      </w:r>
      <w:r>
        <w:t xml:space="preserve">Records continuing, another guide raise, fleet productivity accelerating on easy H2 comps + matting restart, cost program compounding, ~$2B of capital returns, robust mega-project/power/data-center pipeline.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Bear:</w:t>
      </w:r>
      <w:r>
        <w:t xml:space="preserve"> </w:t>
      </w:r>
      <w:r>
        <w:t xml:space="preserve">Stock near highs after a ~30% run leaves little margin for error; busy-season delivery/repositioning costs could pressure margins; productivity is mix-dependent and lumpy (see Q4 2025); local markets only "stable," petrochem still a drag; a merely in-line quarter risks a de-rating given elevated expectations.</w:t>
      </w:r>
    </w:p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Fundamentals and the demand narrative are firmly constructive, and URI has a strong recent track record of beating and raising. The debate into Q2 is less about direction and more about</w:t>
      </w:r>
      <w:r>
        <w:t xml:space="preserve"> </w:t>
      </w:r>
      <w:r>
        <w:rPr>
          <w:b/>
          <w:bCs/>
        </w:rPr>
        <w:t xml:space="preserve">magnitude vs. a high bar</w:t>
      </w:r>
      <w:r>
        <w:t xml:space="preserve"> </w:t>
      </w:r>
      <w:r>
        <w:t xml:space="preserve">— specifically, whether fleet productivity re-accelerates, whether peak-season margins hold the "flat-to-up" line, and whether management raises guidance again. Given the outsized historical post-print moves in both directions, sizing and expectations discipline are as important as the fundamentals here.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Prepared from URI's Q1 2026 and Q2 2025 earnings releases and the Q1 2026 earnings call, plus trailing stock-price data. Q2 2026 figures above are my own estimates for framing, not verified Street consensus. Not investment advice.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2026-07-22T01:06:43Z</dcterms:created>
  <dcterms:modified xsi:type="dcterms:W3CDTF">2026-07-22T01:06:43Z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