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uri-earnings-predictions--2026-07-22"/>
    <w:p>
      <w:pPr>
        <w:pStyle w:val="Heading1"/>
      </w:pPr>
      <w:r>
        <w:t xml:space="preserve">URI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URI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~$11.90 vs. cons $11.67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URI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~$4.27B vs. cons $4.23B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URI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 / margin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1.93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 </m:t>
              </m:r>
              <m:r>
                <m:t>45.6</m:t>
              </m:r>
            </m:oMath>
            <w:r>
              <w:t xml:space="preserve">1.93B (~45.5% margin)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URI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Total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17.0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17.6B (~</w:t>
            </w:r>
            <m:oMath>
              <m:r>
                <m:t>17.3</m:t>
              </m:r>
              <m:r>
                <m:t>B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17.2B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URI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7.7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7.95B (~</w:t>
            </w:r>
            <m:oMath>
              <m:r>
                <m:t>7.82</m:t>
              </m:r>
              <m:r>
                <m:t>B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7.75B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URI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Free Cash Flow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2.15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2.45B (~</w:t>
            </w:r>
            <m:oMath>
              <m:r>
                <m:t>2.30</m:t>
              </m:r>
              <m:r>
                <m:t>B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2.30B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URI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Total shareholder return (buybacks+dividends)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2.0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 </m:t>
              </m:r>
            </m:oMath>
            <w:r>
              <w:t xml:space="preserve">32/share) vs. prior stated plan ~$2.0B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URI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URI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+4.5% (FOLLOW-THROUGH)</w:t>
            </w:r>
          </w:p>
        </w:tc>
        <w:tc>
          <w:tcPr/>
          <w:p>
            <w:pPr>
              <w:pStyle w:val="Compact"/>
            </w:pPr>
            <w:r>
              <w:t xml:space="preserve">A modest EPS/revenue beat plus an in-line-to-slightly-better EBITDA margin print, paired with a small full-year revenue/EBITDA guidance raise (the third straight upward revision after Q1's beat-and-raise), should nudge out-quarter Street estimates higher rather than trigger the implicit-cut dynamic that hurt the stock after Q4 2025's margin miss. With sell-side targets already trending up into the print (Citi, JPM) and the stock having de-risked ~10% off its late-June high, a clean-but-not-blowout quarter likely sees the initial pop extend modestly over the week as analysts lift 2026/2027 EPS models, rather than fade, unless specialty-segment margin commentary disappoints.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2026-07-22T01:13:13Z</dcterms:created>
  <dcterms:modified xsi:type="dcterms:W3CDTF">2026-07-22T01:13:13Z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