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4" w:name="X763034102049b974f131dae19e125b31a09eb39"/>
    <w:p>
      <w:pPr>
        <w:pStyle w:val="Heading1"/>
      </w:pPr>
      <w:r>
        <w:t xml:space="preserve">United Rentals (URI) — Q2 2026 Earnings Preview</w:t>
      </w:r>
    </w:p>
    <w:p>
      <w:pPr>
        <w:pStyle w:val="FirstParagraph"/>
      </w:pPr>
      <w:r>
        <w:rPr>
          <w:b/>
          <w:bCs/>
        </w:rPr>
        <w:t xml:space="preserve">Reports: Wednesday, July 22, 2026, before market open, with a call at 8:30 a.m. ET</w:t>
      </w:r>
    </w:p>
    <w:bookmarkStart w:id="9" w:name="setup-into-the-print"/>
    <w:p>
      <w:pPr>
        <w:pStyle w:val="Heading2"/>
      </w:pPr>
      <w:r>
        <w:t xml:space="preserve">Setup Into the Print</w:t>
      </w:r>
    </w:p>
    <w:p>
      <w:pPr>
        <w:pStyle w:val="FirstParagraph"/>
      </w:pPr>
      <w:r>
        <w:t xml:space="preserve">URI heads into tomorrow's print as one of the best-performing large-cap industrials of the past year, but the stock has cooled noticeably in recent weeks. Shares hit an all-time high near $1,140 in late June before pulling back roughly 10-11% to around</w:t>
      </w:r>
      <w:r>
        <w:t xml:space="preserve"> </w:t>
      </w:r>
      <m:oMath>
        <m:r>
          <m:t>1</m:t>
        </m:r>
        <m:r>
          <m:rPr>
            <m:sty m:val="p"/>
          </m:rPr>
          <m:t>,</m:t>
        </m:r>
        <m:r>
          <m:t>013</m:t>
        </m:r>
        <m:r>
          <m:rPr>
            <m:sty m:val="p"/>
          </m:rPr>
          <m:t>−</m:t>
        </m:r>
      </m:oMath>
      <w:r>
        <w:t xml:space="preserve">1,014 as of July 21 — still comfortably above where the stock traded ahead of its blowout Q1 report in April. The pullback looks more like normal profit-taking/de-risking into a widely-watched print than a fundamental reset: sell-side sentiment has actually been improving into the quarter, with Citi upgrading URI to Buy and lifting its price target to $1,270 from $1,210 on July 14, and JPMorgan raising its target to $1,100 from $1,050 the day before. This marks a sharp reversal from earlier in 2026, when Truist and Bernstein cut targets (to $972 and $965, respectively) after the Q4 2025 report triggered a roughly 13% single-day decline on margin-pressure concerns. That whipsaw is the key subtext for tomorrow: the market has swung from worrying about margin compression to rewarding execution, and Q2 needs to keep validating the more optimistic read.</w:t>
      </w:r>
    </w:p>
    <w:bookmarkEnd w:id="9"/>
    <w:bookmarkStart w:id="10" w:name="what-happened-last-quarter-q1-2026-recap"/>
    <w:p>
      <w:pPr>
        <w:pStyle w:val="Heading2"/>
      </w:pPr>
      <w:r>
        <w:t xml:space="preserve">What Happened Last Quarter (Q1 2026 Recap)</w:t>
      </w:r>
    </w:p>
    <w:p>
      <w:pPr>
        <w:pStyle w:val="FirstParagraph"/>
      </w:pPr>
      <w:r>
        <w:t xml:space="preserve">Q1 was a clean beat-and-raise. United Rentals reported first quarter results including record first quarter total revenue, rental revenue, EPS and adjusted EBITDA, and raised its 2026 full-year guidance, with total revenue of $3.985 billion, including rental revenue of $3.419 billion. Adjusted EPS came in at $9.71, well above the Street's roughly $9.01 estimate. Adjusted EBITDA reached $1.759 billion at a 44.1% margin, a 60 basis point year-over-year improvement excluding the 2025 H&amp;E merger termination benefit, and fleet productivity increased 2.3% year-over-year. The company generated free cash flow of $1.054 billion and returned $500 million to shareholders via buybacks and dividends, ending the quarter with net leverage of 1.9x.</w:t>
      </w:r>
    </w:p>
    <w:p>
      <w:pPr>
        <w:pStyle w:val="BodyText"/>
      </w:pPr>
      <w:r>
        <w:t xml:space="preserve">Management raised full-year guidance on the back of that strength: total revenue outlook moved to</w:t>
      </w:r>
      <w:r>
        <w:t xml:space="preserve"> </w:t>
      </w:r>
      <m:oMath>
        <m:r>
          <m:t>16.9</m:t>
        </m:r>
        <m:r>
          <m:t>b</m:t>
        </m:r>
        <m:r>
          <m:t>i</m:t>
        </m:r>
        <m:r>
          <m:t>l</m:t>
        </m:r>
        <m:r>
          <m:t>l</m:t>
        </m:r>
        <m:r>
          <m:t>i</m:t>
        </m:r>
        <m:r>
          <m:t>o</m:t>
        </m:r>
        <m:r>
          <m:t>n</m:t>
        </m:r>
        <m:r>
          <m:rPr>
            <m:sty m:val="p"/>
          </m:rPr>
          <m:t>–</m:t>
        </m:r>
      </m:oMath>
      <w:r>
        <w:t xml:space="preserve">17.4 billion, adjusted EBITDA to</w:t>
      </w:r>
      <w:r>
        <w:t xml:space="preserve"> </w:t>
      </w:r>
      <m:oMath>
        <m:r>
          <m:t>7.625</m:t>
        </m:r>
        <m:r>
          <m:t>b</m:t>
        </m:r>
        <m:r>
          <m:t>i</m:t>
        </m:r>
        <m:r>
          <m:t>l</m:t>
        </m:r>
        <m:r>
          <m:t>l</m:t>
        </m:r>
        <m:r>
          <m:t>i</m:t>
        </m:r>
        <m:r>
          <m:t>o</m:t>
        </m:r>
        <m:r>
          <m:t>n</m:t>
        </m:r>
        <m:r>
          <m:rPr>
            <m:sty m:val="p"/>
          </m:rPr>
          <m:t>–</m:t>
        </m:r>
      </m:oMath>
      <w:r>
        <w:t xml:space="preserve">7.875 billion, and net rental capital expenditures to</w:t>
      </w:r>
      <w:r>
        <w:t xml:space="preserve"> </w:t>
      </w:r>
      <m:oMath>
        <m:r>
          <m:t>2.95</m:t>
        </m:r>
        <m:r>
          <m:t>b</m:t>
        </m:r>
        <m:r>
          <m:t>i</m:t>
        </m:r>
        <m:r>
          <m:t>l</m:t>
        </m:r>
        <m:r>
          <m:t>l</m:t>
        </m:r>
        <m:r>
          <m:t>i</m:t>
        </m:r>
        <m:r>
          <m:t>o</m:t>
        </m:r>
        <m:r>
          <m:t>n</m:t>
        </m:r>
        <m:r>
          <m:rPr>
            <m:sty m:val="p"/>
          </m:rPr>
          <m:t>–</m:t>
        </m:r>
      </m:oMath>
      <w:r>
        <w:t xml:space="preserve">3.35 billion after gross purchases of</w:t>
      </w:r>
      <w:r>
        <w:t xml:space="preserve"> </w:t>
      </w:r>
      <m:oMath>
        <m:r>
          <m:t>4.4</m:t>
        </m:r>
        <m:r>
          <m:t>b</m:t>
        </m:r>
        <m:r>
          <m:t>i</m:t>
        </m:r>
        <m:r>
          <m:t>l</m:t>
        </m:r>
        <m:r>
          <m:t>l</m:t>
        </m:r>
        <m:r>
          <m:t>i</m:t>
        </m:r>
        <m:r>
          <m:t>o</m:t>
        </m:r>
        <m:r>
          <m:t>n</m:t>
        </m:r>
        <m:r>
          <m:rPr>
            <m:sty m:val="p"/>
          </m:rPr>
          <m:t>–</m:t>
        </m:r>
      </m:oMath>
      <w:r>
        <w:t xml:space="preserve">4.8 billion, while free cash flow guidance was maintained at</w:t>
      </w:r>
      <w:r>
        <w:t xml:space="preserve"> </w:t>
      </w:r>
      <m:oMath>
        <m:r>
          <m:t>2.15</m:t>
        </m:r>
        <m:r>
          <m:t>b</m:t>
        </m:r>
        <m:r>
          <m:t>i</m:t>
        </m:r>
        <m:r>
          <m:t>l</m:t>
        </m:r>
        <m:r>
          <m:t>l</m:t>
        </m:r>
        <m:r>
          <m:t>i</m:t>
        </m:r>
        <m:r>
          <m:t>o</m:t>
        </m:r>
        <m:r>
          <m:t>n</m:t>
        </m:r>
        <m:r>
          <m:rPr>
            <m:sty m:val="p"/>
          </m:rPr>
          <m:t>–</m:t>
        </m:r>
      </m:oMath>
      <w:r>
        <w:t xml:space="preserve">2.45 billion. On the call, CFO Ted Grace reiterated the plan to repurchase $1.5 billion of shares in 2026, combined with the dividend returning roughly $2 billion to shareholders, equating to approximately $32 per share or a return of capital yield of about 4%.</w:t>
      </w:r>
    </w:p>
    <w:p>
      <w:pPr>
        <w:pStyle w:val="BodyText"/>
      </w:pPr>
      <w:r>
        <w:t xml:space="preserve">Segment-level detail is worth flagging heading into Q2: General Rentals segment rental revenue rose 6.2% to a first-quarter record with rental gross margin up 150 basis points to 33.8%, driven by lower depreciation, labor and delivery costs as a percentage of revenue. By contrast, Specialty rentals segment revenue grew 13.8% to a record $1.190 billion, but rental gross margin fell 170 basis points to 41.4%, primarily due to higher depreciation, increased delivery costs and mix shift toward lower-margin ancillary revenue. That divergence — solid core margin recovery, but still-elevated repositioning/delivery drag in the faster-growing specialty business — is the central operating story to track this quarter.</w:t>
      </w:r>
    </w:p>
    <w:bookmarkEnd w:id="10"/>
    <w:bookmarkStart w:id="11" w:name="what-consensus-expects-for-q2"/>
    <w:p>
      <w:pPr>
        <w:pStyle w:val="Heading2"/>
      </w:pPr>
      <w:r>
        <w:t xml:space="preserve">What Consensus Expects for Q2</w:t>
      </w:r>
    </w:p>
    <w:p>
      <w:pPr>
        <w:pStyle w:val="FirstParagraph"/>
      </w:pPr>
      <w:r>
        <w:t xml:space="preserve">Analysts are looking for continued double-digit earnings growth. Ahead of the report, analysts expect URI to report a profit of $11.68 per share on a diluted basis, up 11.6% from $10.47 per share in the year-ago quarter, with full-year EPS expected at $47.26, up 12.4% from $42.06 in fiscal 2025. Sentiment indicators lean favorable: United Rentals currently carries a Zacks Rank of #2, a combination that suggests the company will most likely beat the consensus EPS estimate, consistent with the pattern in Q1 when the company delivered a +7.77% surprise, producing $9.71 versus an expected $9.01.</w:t>
      </w:r>
    </w:p>
    <w:bookmarkEnd w:id="11"/>
    <w:bookmarkStart w:id="12" w:name="key-things-to-watch-on-the-call"/>
    <w:p>
      <w:pPr>
        <w:pStyle w:val="Heading2"/>
      </w:pPr>
      <w:r>
        <w:t xml:space="preserve">Key Things to Watch on the Call</w:t>
      </w:r>
    </w:p>
    <w:p>
      <w:pPr>
        <w:numPr>
          <w:ilvl w:val="0"/>
          <w:numId w:val="1001"/>
        </w:numPr>
      </w:pPr>
      <w:r>
        <w:rPr>
          <w:b/>
          <w:bCs/>
        </w:rPr>
        <w:t xml:space="preserve">Can margin momentum broaden from gen rent into specialty?</w:t>
      </w:r>
      <w:r>
        <w:t xml:space="preserve"> </w:t>
      </w:r>
      <w:r>
        <w:t xml:space="preserve">Management's stated goal is flat full-year adjusted EBITDA margin (ex-H&amp;E benefit), and on the Q1 call CFO Ted Grace was candid that the real test is sustaining cost discipline "through the busy season, which is to say the second and third quarters," with delivery execution called out as the area needing the most focus. Watch whether specialty's margin drag (down ~170bps in Q1, though management said it had narrowed to roughly 30bps behind the prior-year run-rate versus 150-200bps drag last year) continues to close.</w:t>
      </w:r>
    </w:p>
    <w:p>
      <w:pPr>
        <w:numPr>
          <w:ilvl w:val="0"/>
          <w:numId w:val="1001"/>
        </w:numPr>
      </w:pPr>
      <w:r>
        <w:rPr>
          <w:b/>
          <w:bCs/>
        </w:rPr>
        <w:t xml:space="preserve">Fleet productivity trajectory.</w:t>
      </w:r>
      <w:r>
        <w:t xml:space="preserve"> </w:t>
      </w:r>
      <w:r>
        <w:t xml:space="preserve">Q1's 2.3% fleet productivity print benefited from a lack of the negative mix headwind that hit Q4 2025 (a matting project delay). Analysts (e.g., Jerry Revich at Wells Fargo on the Q1 call) pressed management on whether easier H2 comps and improving supply-demand could drive an acceleration; management affirmed confidence in outpacing the ~1.5% fleet inflation "bogey" but was careful not to promise a specific ramp given mix is inherently hard to predict.</w:t>
      </w:r>
    </w:p>
    <w:p>
      <w:pPr>
        <w:numPr>
          <w:ilvl w:val="0"/>
          <w:numId w:val="1001"/>
        </w:numPr>
      </w:pPr>
      <w:r>
        <w:rPr>
          <w:b/>
          <w:bCs/>
        </w:rPr>
        <w:t xml:space="preserve">Large-project pipeline and verticals.</w:t>
      </w:r>
      <w:r>
        <w:t xml:space="preserve"> </w:t>
      </w:r>
      <w:r>
        <w:t xml:space="preserve">Management flagged broad-based strength beyond data centers — nonresidential construction, infrastructure, and power (continuing to post double-digit growth), along with mining and minerals — plus a modest, already-embedded tailwind from World Cup-related activity in Q2. Petrochemical remains a lagging vertical that could be a future upside lever if it inflects. Any updated commentary on mega-project timing (data centers in particular) will be closely watched given how central this theme is to the bull case across the rental sector.</w:t>
      </w:r>
    </w:p>
    <w:p>
      <w:pPr>
        <w:numPr>
          <w:ilvl w:val="0"/>
          <w:numId w:val="1001"/>
        </w:numPr>
      </w:pPr>
      <w:r>
        <w:rPr>
          <w:b/>
          <w:bCs/>
        </w:rPr>
        <w:t xml:space="preserve">Cost inflation, tariffs and fuel.</w:t>
      </w:r>
      <w:r>
        <w:t xml:space="preserve"> </w:t>
      </w:r>
      <w:r>
        <w:t xml:space="preserve">Diesel/fuel costs, Section 232-related tariff risk on steel/equipment inputs, insurance and real estate inflation were all discussed on the Q1 call; management noted the majority of fuel exposure is pass-through via delivery surcharges, with internal consumption hedged. Watch for any update on supplier surcharge pressure given the market's broader tariff anxiety.</w:t>
      </w:r>
    </w:p>
    <w:p>
      <w:pPr>
        <w:numPr>
          <w:ilvl w:val="0"/>
          <w:numId w:val="1001"/>
        </w:numPr>
      </w:pPr>
      <w:r>
        <w:rPr>
          <w:b/>
          <w:bCs/>
        </w:rPr>
        <w:t xml:space="preserve">Restructuring program cadence.</w:t>
      </w:r>
      <w:r>
        <w:t xml:space="preserve"> </w:t>
      </w:r>
      <w:r>
        <w:t xml:space="preserve">The company guided to $55–65 million of full-year 2026 restructuring charges (after $45 million in Q1) tied to branch consolidation and headcount actions, expected to generate $45–50 million of net cost benefit for the year — a modest but real margin tailwind investors will want to see tracking on plan.</w:t>
      </w:r>
    </w:p>
    <w:p>
      <w:pPr>
        <w:numPr>
          <w:ilvl w:val="0"/>
          <w:numId w:val="1001"/>
        </w:numPr>
      </w:pPr>
      <w:r>
        <w:rPr>
          <w:b/>
          <w:bCs/>
        </w:rPr>
        <w:t xml:space="preserve">Capital allocation and buybacks.</w:t>
      </w:r>
      <w:r>
        <w:t xml:space="preserve"> </w:t>
      </w:r>
      <w:r>
        <w:t xml:space="preserve">With net leverage at a comfortable 1.9x and a new</w:t>
      </w:r>
      <w:r>
        <w:t xml:space="preserve"> </w:t>
      </w:r>
      <m:oMath>
        <m:r>
          <m:t>5</m:t>
        </m:r>
        <m:r>
          <m:t>b</m:t>
        </m:r>
        <m:r>
          <m:t>i</m:t>
        </m:r>
        <m:r>
          <m:t>l</m:t>
        </m:r>
        <m:r>
          <m:t>l</m:t>
        </m:r>
        <m:r>
          <m:t>i</m:t>
        </m:r>
        <m:r>
          <m:t>o</m:t>
        </m:r>
        <m:r>
          <m:t>n</m:t>
        </m:r>
        <m:r>
          <m:t>r</m:t>
        </m:r>
        <m:r>
          <m:t>e</m:t>
        </m:r>
        <m:r>
          <m:t>p</m:t>
        </m:r>
        <m:r>
          <m:t>u</m:t>
        </m:r>
        <m:r>
          <m:t>r</m:t>
        </m:r>
        <m:r>
          <m:t>c</m:t>
        </m:r>
        <m:r>
          <m:t>h</m:t>
        </m:r>
        <m:r>
          <m:t>a</m:t>
        </m:r>
        <m:r>
          <m:t>s</m:t>
        </m:r>
        <m:r>
          <m:t>e</m:t>
        </m:r>
        <m:r>
          <m:t>a</m:t>
        </m:r>
        <m:r>
          <m:t>u</m:t>
        </m:r>
        <m:r>
          <m:t>t</m:t>
        </m:r>
        <m:r>
          <m:t>h</m:t>
        </m:r>
        <m:r>
          <m:t>o</m:t>
        </m:r>
        <m:r>
          <m:t>r</m:t>
        </m:r>
        <m:r>
          <m:t>i</m:t>
        </m:r>
        <m:r>
          <m:t>z</m:t>
        </m:r>
        <m:r>
          <m:t>a</m:t>
        </m:r>
        <m:r>
          <m:t>t</m:t>
        </m:r>
        <m:r>
          <m:t>i</m:t>
        </m:r>
        <m:r>
          <m:t>o</m:t>
        </m:r>
        <m:r>
          <m:t>n</m:t>
        </m:r>
        <m:r>
          <m:t>i</m:t>
        </m:r>
        <m:r>
          <m:t>n</m:t>
        </m:r>
        <m:r>
          <m:t>p</m:t>
        </m:r>
        <m:r>
          <m:t>l</m:t>
        </m:r>
        <m:r>
          <m:t>a</m:t>
        </m:r>
        <m:r>
          <m:t>c</m:t>
        </m:r>
        <m:r>
          <m:t>e</m:t>
        </m:r>
        <m:r>
          <m:rPr>
            <m:sty m:val="p"/>
          </m:rPr>
          <m:t>,</m:t>
        </m:r>
        <m:r>
          <m:t>e</m:t>
        </m:r>
        <m:r>
          <m:t>x</m:t>
        </m:r>
        <m:r>
          <m:t>p</m:t>
        </m:r>
        <m:r>
          <m:t>e</m:t>
        </m:r>
        <m:r>
          <m:t>c</m:t>
        </m:r>
        <m:r>
          <m:t>t</m:t>
        </m:r>
        <m:r>
          <m:t>c</m:t>
        </m:r>
        <m:r>
          <m:t>o</m:t>
        </m:r>
        <m:r>
          <m:t>n</m:t>
        </m:r>
        <m:r>
          <m:t>t</m:t>
        </m:r>
        <m:r>
          <m:t>i</m:t>
        </m:r>
        <m:r>
          <m:t>n</m:t>
        </m:r>
        <m:r>
          <m:t>u</m:t>
        </m:r>
        <m:r>
          <m:t>e</m:t>
        </m:r>
        <m:r>
          <m:t>d</m:t>
        </m:r>
        <m:r>
          <m:t>c</m:t>
        </m:r>
        <m:r>
          <m:t>o</m:t>
        </m:r>
        <m:r>
          <m:t>n</m:t>
        </m:r>
        <m:r>
          <m:t>f</m:t>
        </m:r>
        <m:r>
          <m:t>i</m:t>
        </m:r>
        <m:r>
          <m:t>r</m:t>
        </m:r>
        <m:r>
          <m:t>m</m:t>
        </m:r>
        <m:r>
          <m:t>a</m:t>
        </m:r>
        <m:r>
          <m:t>t</m:t>
        </m:r>
        <m:r>
          <m:t>i</m:t>
        </m:r>
        <m:r>
          <m:t>o</m:t>
        </m:r>
        <m:r>
          <m:t>n</m:t>
        </m:r>
        <m:r>
          <m:t>o</m:t>
        </m:r>
        <m:r>
          <m:t>f</m:t>
        </m:r>
        <m:r>
          <m:t>t</m:t>
        </m:r>
        <m:r>
          <m:t>h</m:t>
        </m:r>
        <m:r>
          <m:t>e</m:t>
        </m:r>
        <m:r>
          <m:t> </m:t>
        </m:r>
      </m:oMath>
      <w:r>
        <w:t xml:space="preserve">2 billion return-of-capital plan for 2026 and commentary on the active (if not transformative) M&amp;A/tuck-in pipeline, particularly in specialty categories.</w:t>
      </w:r>
    </w:p>
    <w:p>
      <w:pPr>
        <w:numPr>
          <w:ilvl w:val="0"/>
          <w:numId w:val="1001"/>
        </w:numPr>
      </w:pPr>
      <w:r>
        <w:rPr>
          <w:b/>
          <w:bCs/>
        </w:rPr>
        <w:t xml:space="preserve">Guidance revision.</w:t>
      </w:r>
      <w:r>
        <w:t xml:space="preserve"> </w:t>
      </w:r>
      <w:r>
        <w:t xml:space="preserve">Given the magnitude of the Q1 beat and raise, another guidance increase (even modest) would reinforce the "beat-and-raise" narrative that has driven the stock's 2026 re-rating; a hold-steady guide alongside decent results could still be read as conservative, while any signs of margin slippage — the same worry that hit the stock hard after Q4 2025 — would likely reawaken the bear case around specialty integration costs and delivery/labor cost absorption.</w:t>
      </w:r>
    </w:p>
    <w:bookmarkEnd w:id="12"/>
    <w:bookmarkStart w:id="13" w:name="bottom-line"/>
    <w:p>
      <w:pPr>
        <w:pStyle w:val="Heading2"/>
      </w:pPr>
      <w:r>
        <w:t xml:space="preserve">Bottom Line</w:t>
      </w:r>
    </w:p>
    <w:p>
      <w:pPr>
        <w:pStyle w:val="FirstParagraph"/>
      </w:pPr>
      <w:r>
        <w:t xml:space="preserve">Heading into Wednesday's report, the setup is constructive but not without risk: fundamentals have been strong and improving (record Q1 across every headline metric, a raised FY26 guide, healthy free cash flow and disciplined capital returns), and sell-side price targets have been moving higher into the print. At the same time, the stock's sharp reaction to Q4 2025's margin concerns is a reminder that the market remains sensitive to any wobble in specialty-segment profitability or delivery/repositioning costs as the "busy season" ramps. The key swing factors for tomorrow are (1) whether fleet productivity and gross margins — especially in specialty — continue to improve sequentially, (2) commentary on large-project/data-center momentum into H2, and (3) whether management raises full-year guidance again, which the market has come to expect after two consecutive upside quarters.</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2026-07-22T01:13:13Z</dcterms:created>
  <dcterms:modified xsi:type="dcterms:W3CDTF">2026-07-22T01:13:13Z</dcterms:modified>
</cp:coreProperties>
</file>

<file path=docProps/custom.xml><?xml version="1.0" encoding="utf-8"?>
<Properties xmlns="http://schemas.openxmlformats.org/officeDocument/2006/custom-properties" xmlns:vt="http://schemas.openxmlformats.org/officeDocument/2006/docPropsVTypes"/>
</file>