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ri-earnings-predictions--2026-07-22"/>
    <w:p>
      <w:pPr>
        <w:pStyle w:val="Heading1"/>
      </w:pPr>
      <w:r>
        <w:t xml:space="preserve">URI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~$4.28B vs. cons $4.22B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~$1.96B vs. cons $1.94B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~$11.78 vs. cons $11.57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~$17.25B vs. cons $17.20B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~$7.80B vs. cons $7.78B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~$2.30B vs. cons $2.34B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+4.4% (FOLLOW-THROUGH)</w:t>
            </w:r>
          </w:p>
        </w:tc>
        <w:tc>
          <w:tcPr/>
          <w:p>
            <w:pPr>
              <w:pStyle w:val="Compact"/>
            </w:pPr>
            <w:r>
              <w:t xml:space="preserve">A revenue and EBITDA raise to ~</w:t>
            </w:r>
            <m:oMath>
              <m:r>
                <m:t>17.25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7.80B versus consensus of $17.20B and</w:t>
            </w:r>
            <w:r>
              <w:t xml:space="preserve"> </w:t>
            </w:r>
            <m:oMath>
              <m:r>
                <m:t>7.78</m:t>
              </m:r>
              <m:r>
                <m:t>B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;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r</m:t>
              </m:r>
              <m:r>
                <m:t>e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2.30B versus $2.34B limits, but does not reverse, the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2026-07-22T01:09:20Z</dcterms:created>
  <dcterms:modified xsi:type="dcterms:W3CDTF">2026-07-22T01:09:20Z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