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9" w:name="Xeadcaca096589ef5acb226cefb1575c6eb0f96c"/>
    <w:p>
      <w:pPr>
        <w:pStyle w:val="Heading1"/>
      </w:pPr>
      <w:r>
        <w:t xml:space="preserve">United Rentals (URI) — 2026 Q2 Earnings Preview</w:t>
      </w:r>
    </w:p>
    <w:p>
      <w:pPr>
        <w:pStyle w:val="BlockText"/>
      </w:pPr>
      <w:r>
        <w:rPr>
          <w:b/>
          <w:bCs/>
        </w:rPr>
        <w:t xml:space="preserve">Timing clarification:</w:t>
      </w:r>
      <w:r>
        <w:t xml:space="preserve"> </w:t>
      </w:r>
      <w:r>
        <w:t xml:space="preserve">United Rentals is scheduled to issue its Q2 results</w:t>
      </w:r>
      <w:r>
        <w:t xml:space="preserve"> </w:t>
      </w:r>
      <w:r>
        <w:rPr>
          <w:b/>
          <w:bCs/>
        </w:rPr>
        <w:t xml:space="preserve">after the market closes today, Wednesday, July 22, 2026</w:t>
      </w:r>
      <w:r>
        <w:t xml:space="preserve">. The earnings call is</w:t>
      </w:r>
      <w:r>
        <w:t xml:space="preserve"> </w:t>
      </w:r>
      <w:r>
        <w:rPr>
          <w:b/>
          <w:bCs/>
        </w:rPr>
        <w:t xml:space="preserve">tomorrow, Thursday, July 23, at 8:30 a.m. ET</w:t>
      </w:r>
      <w:r>
        <w:t xml:space="preserve">. (</w:t>
      </w:r>
      <w:hyperlink r:id="rId9">
        <w:r>
          <w:rPr>
            <w:rStyle w:val="Hyperlink"/>
          </w:rPr>
          <w:t xml:space="preserve">investor-relations.unitedrentals.com</w:t>
        </w:r>
      </w:hyperlink>
      <w:r>
        <w:t xml:space="preserve">)</w:t>
      </w:r>
    </w:p>
    <w:bookmarkStart w:id="10" w:name="investment-setup"/>
    <w:p>
      <w:pPr>
        <w:pStyle w:val="Heading2"/>
      </w:pPr>
      <w:r>
        <w:t xml:space="preserve">Investment setup</w:t>
      </w:r>
    </w:p>
    <w:p>
      <w:pPr>
        <w:pStyle w:val="FirstParagraph"/>
      </w:pPr>
      <w:r>
        <w:t xml:space="preserve">The setup is favorable, but expectations have risen substantially since URI’s strong first-quarter report. Q1 delivered record revenue, adjusted EBITDA and adjusted EPS, while management raised full-year revenue, EBITDA and capital-spending guidance. The stock closed July 21 roughly</w:t>
      </w:r>
      <w:r>
        <w:t xml:space="preserve"> </w:t>
      </w:r>
      <w:r>
        <w:rPr>
          <w:b/>
          <w:bCs/>
        </w:rPr>
        <w:t xml:space="preserve">20% above its first trading day of 2026</w:t>
      </w:r>
      <w:r>
        <w:t xml:space="preserve"> </w:t>
      </w:r>
      <w:r>
        <w:t xml:space="preserve">and approximately</w:t>
      </w:r>
      <w:r>
        <w:t xml:space="preserve"> </w:t>
      </w:r>
      <w:r>
        <w:rPr>
          <w:b/>
          <w:bCs/>
        </w:rPr>
        <w:t xml:space="preserve">26% above its April 22 pre-Q1-earnings close</w:t>
      </w:r>
      <w:r>
        <w:t xml:space="preserve">.</w:t>
      </w:r>
    </w:p>
    <w:p>
      <w:pPr>
        <w:pStyle w:val="BodyText"/>
      </w:pPr>
      <w:r>
        <w:t xml:space="preserve">Consequently, a small headline beat may not be enough. Investors will probably focus on whether:</w:t>
      </w:r>
    </w:p>
    <w:p>
      <w:pPr>
        <w:pStyle w:val="Compact"/>
        <w:numPr>
          <w:ilvl w:val="0"/>
          <w:numId w:val="1001"/>
        </w:numPr>
      </w:pPr>
      <w:r>
        <w:t xml:space="preserve">Rental demand remains strong through the busy season.</w:t>
      </w:r>
    </w:p>
    <w:p>
      <w:pPr>
        <w:pStyle w:val="Compact"/>
        <w:numPr>
          <w:ilvl w:val="0"/>
          <w:numId w:val="1001"/>
        </w:numPr>
      </w:pPr>
      <w:r>
        <w:t xml:space="preserve">Fleet productivity stays comfortably positive.</w:t>
      </w:r>
    </w:p>
    <w:p>
      <w:pPr>
        <w:pStyle w:val="Compact"/>
        <w:numPr>
          <w:ilvl w:val="0"/>
          <w:numId w:val="1001"/>
        </w:numPr>
      </w:pPr>
      <w:r>
        <w:t xml:space="preserve">Cost controls protect margins as activity and fleet repositioning increase.</w:t>
      </w:r>
    </w:p>
    <w:p>
      <w:pPr>
        <w:pStyle w:val="Compact"/>
        <w:numPr>
          <w:ilvl w:val="0"/>
          <w:numId w:val="1001"/>
        </w:numPr>
      </w:pPr>
      <w:r>
        <w:t xml:space="preserve">Management raises—not merely reiterates—its 2026 outlook.</w:t>
      </w:r>
    </w:p>
    <w:bookmarkEnd w:id="10"/>
    <w:bookmarkStart w:id="13" w:name="street-expectations"/>
    <w:p>
      <w:pPr>
        <w:pStyle w:val="Heading2"/>
      </w:pPr>
      <w:r>
        <w:t xml:space="preserve">Street expectations</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Q2 metric</w:t>
            </w:r>
          </w:p>
        </w:tc>
        <w:tc>
          <w:tcPr/>
          <w:p>
            <w:pPr>
              <w:pStyle w:val="Compact"/>
              <w:jc w:val="right"/>
            </w:pPr>
            <w:r>
              <w:t xml:space="preserve">Consensus</w:t>
            </w:r>
          </w:p>
        </w:tc>
        <w:tc>
          <w:tcPr/>
          <w:p>
            <w:pPr>
              <w:pStyle w:val="Compact"/>
              <w:jc w:val="right"/>
            </w:pPr>
            <w:r>
              <w:t xml:space="preserve">Q2 2025</w:t>
            </w:r>
          </w:p>
        </w:tc>
        <w:tc>
          <w:tcPr/>
          <w:p>
            <w:pPr>
              <w:pStyle w:val="Compact"/>
              <w:jc w:val="right"/>
            </w:pPr>
            <w:r>
              <w:t xml:space="preserve">Implied growth</w:t>
            </w:r>
          </w:p>
        </w:tc>
      </w:tr>
      <w:tr>
        <w:tc>
          <w:tcPr/>
          <w:p>
            <w:pPr>
              <w:pStyle w:val="Compact"/>
            </w:pPr>
            <w:r>
              <w:t xml:space="preserve">Revenue</w:t>
            </w:r>
          </w:p>
        </w:tc>
        <w:tc>
          <w:tcPr/>
          <w:p>
            <w:pPr>
              <w:pStyle w:val="Compact"/>
              <w:jc w:val="right"/>
            </w:pPr>
            <w:r>
              <w:rPr>
                <w:b/>
                <w:bCs/>
              </w:rPr>
              <w:t xml:space="preserve">~$4.22B</w:t>
            </w:r>
          </w:p>
        </w:tc>
        <w:tc>
          <w:tcPr/>
          <w:p>
            <w:pPr>
              <w:pStyle w:val="Compact"/>
              <w:jc w:val="right"/>
            </w:pPr>
            <w:r>
              <w:t xml:space="preserve">$3.943B</w:t>
            </w:r>
          </w:p>
        </w:tc>
        <w:tc>
          <w:tcPr/>
          <w:p>
            <w:pPr>
              <w:pStyle w:val="Compact"/>
              <w:jc w:val="right"/>
            </w:pPr>
            <w:r>
              <w:t xml:space="preserve">~7%</w:t>
            </w:r>
          </w:p>
        </w:tc>
      </w:tr>
      <w:tr>
        <w:tc>
          <w:tcPr/>
          <w:p>
            <w:pPr>
              <w:pStyle w:val="Compact"/>
            </w:pPr>
            <w:r>
              <w:t xml:space="preserve">Adjusted EPS</w:t>
            </w:r>
          </w:p>
        </w:tc>
        <w:tc>
          <w:tcPr/>
          <w:p>
            <w:pPr>
              <w:pStyle w:val="Compact"/>
              <w:jc w:val="right"/>
            </w:pPr>
            <w:r>
              <w:rPr>
                <w:b/>
                <w:bCs/>
              </w:rPr>
              <w:t xml:space="preserve">~$11.53</w:t>
            </w:r>
          </w:p>
        </w:tc>
        <w:tc>
          <w:tcPr/>
          <w:p>
            <w:pPr>
              <w:pStyle w:val="Compact"/>
              <w:jc w:val="right"/>
            </w:pPr>
            <w:r>
              <w:t xml:space="preserve">$10.47</w:t>
            </w:r>
          </w:p>
        </w:tc>
        <w:tc>
          <w:tcPr/>
          <w:p>
            <w:pPr>
              <w:pStyle w:val="Compact"/>
              <w:jc w:val="right"/>
            </w:pPr>
            <w:r>
              <w:t xml:space="preserve">~10%</w:t>
            </w:r>
          </w:p>
        </w:tc>
      </w:tr>
    </w:tbl>
    <w:p>
      <w:pPr>
        <w:pStyle w:val="BodyText"/>
      </w:pPr>
      <w:r>
        <w:t xml:space="preserve">Consensus varies slightly by provider, with recent adjusted-EPS estimates generally around</w:t>
      </w:r>
      <w:r>
        <w:t xml:space="preserve"> </w:t>
      </w:r>
      <m:oMath>
        <m:r>
          <m:t>11.53</m:t>
        </m:r>
        <m:r>
          <m:rPr>
            <m:sty m:val="p"/>
          </m:rPr>
          <m:t>–</m:t>
        </m:r>
      </m:oMath>
      <w:r>
        <w:t xml:space="preserve">11.64. (</w:t>
      </w:r>
      <w:hyperlink r:id="rId11">
        <w:r>
          <w:rPr>
            <w:rStyle w:val="Hyperlink"/>
          </w:rPr>
          <w:t xml:space="preserve">marketbeat.com</w:t>
        </w:r>
      </w:hyperlink>
      <w:r>
        <w:t xml:space="preserve">)</w:t>
      </w:r>
    </w:p>
    <w:p>
      <w:pPr>
        <w:pStyle w:val="BodyText"/>
      </w:pPr>
      <w:r>
        <w:t xml:space="preserve">URI’s year-ago quarter included $3.415 billion of rental revenue, $1.810 billion of adjusted EBITDA, a 45.9% adjusted EBITDA margin and 3.3% fleet productivity. General-rental revenue grew 2.7%, while specialty revenue increased 14.0%. (</w:t>
      </w:r>
      <w:hyperlink r:id="rId12">
        <w:r>
          <w:rPr>
            <w:rStyle w:val="Hyperlink"/>
          </w:rPr>
          <w:t xml:space="preserve">investors.unitedrentals.com</w:t>
        </w:r>
      </w:hyperlink>
      <w:r>
        <w:t xml:space="preserve">)</w:t>
      </w:r>
    </w:p>
    <w:bookmarkEnd w:id="13"/>
    <w:bookmarkStart w:id="20" w:name="the-five-most-important-issues"/>
    <w:p>
      <w:pPr>
        <w:pStyle w:val="Heading2"/>
      </w:pPr>
      <w:r>
        <w:t xml:space="preserve">The five most important issues</w:t>
      </w:r>
    </w:p>
    <w:bookmarkStart w:id="15" w:name="X1bee71de50c11346404093de376eb0eb99cfbd1"/>
    <w:p>
      <w:pPr>
        <w:pStyle w:val="Heading3"/>
      </w:pPr>
      <w:r>
        <w:t xml:space="preserve">1. Rental revenue and fleet productivity</w:t>
      </w:r>
    </w:p>
    <w:p>
      <w:pPr>
        <w:pStyle w:val="FirstParagraph"/>
      </w:pPr>
      <w:r>
        <w:t xml:space="preserve">This is the report’s central operating test.</w:t>
      </w:r>
    </w:p>
    <w:p>
      <w:pPr>
        <w:pStyle w:val="BodyText"/>
      </w:pPr>
      <w:r>
        <w:t xml:space="preserve">Q1 rental revenue grew</w:t>
      </w:r>
      <w:r>
        <w:t xml:space="preserve"> </w:t>
      </w:r>
      <w:r>
        <w:rPr>
          <w:b/>
          <w:bCs/>
        </w:rPr>
        <w:t xml:space="preserve">8.7%</w:t>
      </w:r>
      <w:r>
        <w:t xml:space="preserve">, consisting of:</w:t>
      </w:r>
    </w:p>
    <w:p>
      <w:pPr>
        <w:pStyle w:val="Compact"/>
        <w:numPr>
          <w:ilvl w:val="0"/>
          <w:numId w:val="1002"/>
        </w:numPr>
      </w:pPr>
      <w:r>
        <w:t xml:space="preserve">5.7% growth in average fleet OEC;</w:t>
      </w:r>
    </w:p>
    <w:p>
      <w:pPr>
        <w:pStyle w:val="Compact"/>
        <w:numPr>
          <w:ilvl w:val="0"/>
          <w:numId w:val="1002"/>
        </w:numPr>
      </w:pPr>
      <w:r>
        <w:t xml:space="preserve">2.3% fleet productivity;</w:t>
      </w:r>
    </w:p>
    <w:p>
      <w:pPr>
        <w:pStyle w:val="Compact"/>
        <w:numPr>
          <w:ilvl w:val="0"/>
          <w:numId w:val="1002"/>
        </w:numPr>
      </w:pPr>
      <w:r>
        <w:t xml:space="preserve">a 2.2-point contribution from ancillary and re-rent revenue; partially offset by</w:t>
      </w:r>
    </w:p>
    <w:p>
      <w:pPr>
        <w:pStyle w:val="Compact"/>
        <w:numPr>
          <w:ilvl w:val="0"/>
          <w:numId w:val="1002"/>
        </w:numPr>
      </w:pPr>
      <w:r>
        <w:t xml:space="preserve">1.5% assumed fleet inflation.</w:t>
      </w:r>
    </w:p>
    <w:p>
      <w:pPr>
        <w:pStyle w:val="FirstParagraph"/>
      </w:pPr>
      <w:r>
        <w:t xml:space="preserve">Management said the supply-demand environment remained conducive to positive fleet productivity, supported by positive rental rates and high time utilization. (</w:t>
      </w:r>
      <w:hyperlink r:id="rId14">
        <w:r>
          <w:rPr>
            <w:rStyle w:val="Hyperlink"/>
          </w:rPr>
          <w:t xml:space="preserve">investor-relations.unitedrentals.com</w:t>
        </w:r>
      </w:hyperlink>
      <w:r>
        <w:t xml:space="preserve">)</w:t>
      </w:r>
    </w:p>
    <w:p>
      <w:pPr>
        <w:pStyle w:val="BodyText"/>
      </w:pPr>
      <w:r>
        <w:rPr>
          <w:b/>
          <w:bCs/>
        </w:rPr>
        <w:t xml:space="preserve">What would be encouraging:</w:t>
      </w:r>
    </w:p>
    <w:p>
      <w:pPr>
        <w:pStyle w:val="Compact"/>
        <w:numPr>
          <w:ilvl w:val="0"/>
          <w:numId w:val="1003"/>
        </w:numPr>
      </w:pPr>
      <w:r>
        <w:t xml:space="preserve">Rental-revenue growth near or above the company’s Q1 pace.</w:t>
      </w:r>
    </w:p>
    <w:p>
      <w:pPr>
        <w:pStyle w:val="Compact"/>
        <w:numPr>
          <w:ilvl w:val="0"/>
          <w:numId w:val="1003"/>
        </w:numPr>
      </w:pPr>
      <w:r>
        <w:t xml:space="preserve">Fleet productivity above 2%, ideally approaching or exceeding 2.5%.</w:t>
      </w:r>
    </w:p>
    <w:p>
      <w:pPr>
        <w:pStyle w:val="Compact"/>
        <w:numPr>
          <w:ilvl w:val="0"/>
          <w:numId w:val="1003"/>
        </w:numPr>
      </w:pPr>
      <w:r>
        <w:t xml:space="preserve">Confirmation that rate remains positive without sacrificing utilization.</w:t>
      </w:r>
    </w:p>
    <w:p>
      <w:pPr>
        <w:pStyle w:val="Compact"/>
        <w:numPr>
          <w:ilvl w:val="0"/>
          <w:numId w:val="1003"/>
        </w:numPr>
      </w:pPr>
      <w:r>
        <w:t xml:space="preserve">Growth driven by owned-equipment rentals, not disproportionately by lower-margin ancillary and re-rent activity.</w:t>
      </w:r>
    </w:p>
    <w:p>
      <w:pPr>
        <w:pStyle w:val="FirstParagraph"/>
      </w:pPr>
      <w:r>
        <w:t xml:space="preserve">A softer fleet-productivity result could be tolerated if caused by favorable mix or temporary project timing. Weak rate or utilization commentary would be more concerning.</w:t>
      </w:r>
    </w:p>
    <w:bookmarkEnd w:id="15"/>
    <w:bookmarkStart w:id="16" w:name="X783982a68550e64b281828458753c1f22f41021"/>
    <w:p>
      <w:pPr>
        <w:pStyle w:val="Heading3"/>
      </w:pPr>
      <w:r>
        <w:t xml:space="preserve">2. Margin execution during peak activity</w:t>
      </w:r>
    </w:p>
    <w:p>
      <w:pPr>
        <w:pStyle w:val="FirstParagraph"/>
      </w:pPr>
      <w:r>
        <w:t xml:space="preserve">Q1 adjusted EBITDA margin was</w:t>
      </w:r>
      <w:r>
        <w:t xml:space="preserve"> </w:t>
      </w:r>
      <w:r>
        <w:rPr>
          <w:b/>
          <w:bCs/>
        </w:rPr>
        <w:t xml:space="preserve">44.1%</w:t>
      </w:r>
      <w:r>
        <w:t xml:space="preserve">, up 60 basis points year over year after excluding the prior-year H&amp;E termination benefit. General-rental gross margin improved 150 basis points, helped by lower labor, delivery and depreciation costs as a percentage of revenue. Specialty gross margin, however, declined 170 basis points because of higher depreciation, delivery costs and a greater contribution from lower-margin ancillary revenue. (</w:t>
      </w:r>
      <w:hyperlink r:id="rId14">
        <w:r>
          <w:rPr>
            <w:rStyle w:val="Hyperlink"/>
          </w:rPr>
          <w:t xml:space="preserve">investor-relations.unitedrentals.com</w:t>
        </w:r>
      </w:hyperlink>
      <w:r>
        <w:t xml:space="preserve">)</w:t>
      </w:r>
    </w:p>
    <w:p>
      <w:pPr>
        <w:pStyle w:val="BodyText"/>
      </w:pPr>
      <w:r>
        <w:t xml:space="preserve">Management’s full-year goal has been approximately flat adjusted EBITDA margin, excluding the unusual H&amp;E comparison. Q2 is the first major test of whether Q1’s cost improvements can persist as the system becomes busier.</w:t>
      </w:r>
    </w:p>
    <w:p>
      <w:pPr>
        <w:pStyle w:val="BodyText"/>
      </w:pPr>
      <w:r>
        <w:t xml:space="preserve">At the consensus revenue estimate, a margin near last year’s</w:t>
      </w:r>
      <w:r>
        <w:t xml:space="preserve"> </w:t>
      </w:r>
      <w:r>
        <w:rPr>
          <w:b/>
          <w:bCs/>
        </w:rPr>
        <w:t xml:space="preserve">45.9%</w:t>
      </w:r>
      <w:r>
        <w:t xml:space="preserve"> </w:t>
      </w:r>
      <w:r>
        <w:t xml:space="preserve">would imply adjusted EBITDA of roughly</w:t>
      </w:r>
      <w:r>
        <w:t xml:space="preserve"> </w:t>
      </w:r>
      <w:r>
        <w:rPr>
          <w:b/>
          <w:bCs/>
        </w:rPr>
        <w:t xml:space="preserve">$1.94 billion</w:t>
      </w:r>
      <w:r>
        <w:t xml:space="preserve">.</w:t>
      </w:r>
    </w:p>
    <w:p>
      <w:pPr>
        <w:pStyle w:val="BodyText"/>
      </w:pPr>
      <w:r>
        <w:t xml:space="preserve">Watch particularly for:</w:t>
      </w:r>
    </w:p>
    <w:p>
      <w:pPr>
        <w:pStyle w:val="Compact"/>
        <w:numPr>
          <w:ilvl w:val="0"/>
          <w:numId w:val="1004"/>
        </w:numPr>
      </w:pPr>
      <w:r>
        <w:t xml:space="preserve">Delivery and fleet-repositioning costs.</w:t>
      </w:r>
    </w:p>
    <w:p>
      <w:pPr>
        <w:pStyle w:val="Compact"/>
        <w:numPr>
          <w:ilvl w:val="0"/>
          <w:numId w:val="1004"/>
        </w:numPr>
      </w:pPr>
      <w:r>
        <w:t xml:space="preserve">Labor absorption.</w:t>
      </w:r>
    </w:p>
    <w:p>
      <w:pPr>
        <w:pStyle w:val="Compact"/>
        <w:numPr>
          <w:ilvl w:val="0"/>
          <w:numId w:val="1004"/>
        </w:numPr>
      </w:pPr>
      <w:r>
        <w:t xml:space="preserve">Repair and maintenance expense.</w:t>
      </w:r>
    </w:p>
    <w:p>
      <w:pPr>
        <w:pStyle w:val="Compact"/>
        <w:numPr>
          <w:ilvl w:val="0"/>
          <w:numId w:val="1004"/>
        </w:numPr>
      </w:pPr>
      <w:r>
        <w:t xml:space="preserve">Specialty depreciation and revenue mix.</w:t>
      </w:r>
    </w:p>
    <w:p>
      <w:pPr>
        <w:pStyle w:val="Compact"/>
        <w:numPr>
          <w:ilvl w:val="0"/>
          <w:numId w:val="1004"/>
        </w:numPr>
      </w:pPr>
      <w:r>
        <w:t xml:space="preserve">The quarterly realization of restructuring savings.</w:t>
      </w:r>
    </w:p>
    <w:p>
      <w:pPr>
        <w:pStyle w:val="FirstParagraph"/>
      </w:pPr>
      <w:r>
        <w:t xml:space="preserve">The best result would combine high-single-digit rental growth with a roughly stable or improving EBITDA margin. Revenue growth accompanied by meaningful margin compression would be lower quality.</w:t>
      </w:r>
    </w:p>
    <w:bookmarkEnd w:id="16"/>
    <w:bookmarkStart w:id="17" w:name="Xfb4ed93aec6ec3417de97086cbfbfb6dfb804df"/>
    <w:p>
      <w:pPr>
        <w:pStyle w:val="Heading3"/>
      </w:pPr>
      <w:r>
        <w:t xml:space="preserve">3. Specialty growth versus specialty profitability</w:t>
      </w:r>
    </w:p>
    <w:p>
      <w:pPr>
        <w:pStyle w:val="FirstParagraph"/>
      </w:pPr>
      <w:r>
        <w:t xml:space="preserve">Specialty remains URI’s strongest structural growth engine. Q1 specialty rental revenue rose</w:t>
      </w:r>
      <w:r>
        <w:t xml:space="preserve"> </w:t>
      </w:r>
      <w:r>
        <w:rPr>
          <w:b/>
          <w:bCs/>
        </w:rPr>
        <w:t xml:space="preserve">13.8%</w:t>
      </w:r>
      <w:r>
        <w:t xml:space="preserve">, versus 6.2% in general rentals, and management continued investing in cold starts and additional specialty fleet. But specialty’s gross margin fell to 41.4% from 43.1%. (</w:t>
      </w:r>
      <w:hyperlink r:id="rId14">
        <w:r>
          <w:rPr>
            <w:rStyle w:val="Hyperlink"/>
          </w:rPr>
          <w:t xml:space="preserve">investor-relations.unitedrentals.com</w:t>
        </w:r>
      </w:hyperlink>
      <w:r>
        <w:t xml:space="preserve">)</w:t>
      </w:r>
    </w:p>
    <w:p>
      <w:pPr>
        <w:pStyle w:val="BodyText"/>
      </w:pPr>
      <w:r>
        <w:t xml:space="preserve">Investors should distinguish between two questions:</w:t>
      </w:r>
    </w:p>
    <w:p>
      <w:pPr>
        <w:pStyle w:val="Compact"/>
        <w:numPr>
          <w:ilvl w:val="0"/>
          <w:numId w:val="1005"/>
        </w:numPr>
      </w:pPr>
      <w:r>
        <w:rPr>
          <w:b/>
          <w:bCs/>
        </w:rPr>
        <w:t xml:space="preserve">Is specialty still growing at a low- to mid-teens rate?</w:t>
      </w:r>
    </w:p>
    <w:p>
      <w:pPr>
        <w:pStyle w:val="Compact"/>
        <w:numPr>
          <w:ilvl w:val="0"/>
          <w:numId w:val="1005"/>
        </w:numPr>
      </w:pPr>
      <w:r>
        <w:rPr>
          <w:b/>
          <w:bCs/>
        </w:rPr>
        <w:t xml:space="preserve">Is that growth becoming more profitable?</w:t>
      </w:r>
    </w:p>
    <w:p>
      <w:pPr>
        <w:pStyle w:val="FirstParagraph"/>
      </w:pPr>
      <w:r>
        <w:t xml:space="preserve">Strong specialty revenue with another large margin decline would suggest URI is paying heavily for growth through depreciation, repositioning and ancillary costs. A narrowing of the year-over-year margin decline would indicate that branch maturity, fleet utilization and cost initiatives are beginning to catch up with investment.</w:t>
      </w:r>
    </w:p>
    <w:bookmarkEnd w:id="17"/>
    <w:bookmarkStart w:id="18" w:name="Xbee2f09785587e93d67da39c2e22c5021978161"/>
    <w:p>
      <w:pPr>
        <w:pStyle w:val="Heading3"/>
      </w:pPr>
      <w:r>
        <w:t xml:space="preserve">4. Large projects versus local-market demand</w:t>
      </w:r>
    </w:p>
    <w:p>
      <w:pPr>
        <w:pStyle w:val="FirstParagraph"/>
      </w:pPr>
      <w:r>
        <w:t xml:space="preserve">Management entered Q2 optimistic about large-project activity across:</w:t>
      </w:r>
    </w:p>
    <w:p>
      <w:pPr>
        <w:pStyle w:val="Compact"/>
        <w:numPr>
          <w:ilvl w:val="0"/>
          <w:numId w:val="1006"/>
        </w:numPr>
      </w:pPr>
      <w:r>
        <w:t xml:space="preserve">Data centers;</w:t>
      </w:r>
    </w:p>
    <w:p>
      <w:pPr>
        <w:pStyle w:val="Compact"/>
        <w:numPr>
          <w:ilvl w:val="0"/>
          <w:numId w:val="1006"/>
        </w:numPr>
      </w:pPr>
      <w:r>
        <w:t xml:space="preserve">broader nonresidential construction;</w:t>
      </w:r>
    </w:p>
    <w:p>
      <w:pPr>
        <w:pStyle w:val="Compact"/>
        <w:numPr>
          <w:ilvl w:val="0"/>
          <w:numId w:val="1006"/>
        </w:numPr>
      </w:pPr>
      <w:r>
        <w:t xml:space="preserve">infrastructure;</w:t>
      </w:r>
    </w:p>
    <w:p>
      <w:pPr>
        <w:pStyle w:val="Compact"/>
        <w:numPr>
          <w:ilvl w:val="0"/>
          <w:numId w:val="1006"/>
        </w:numPr>
      </w:pPr>
      <w:r>
        <w:t xml:space="preserve">power and utilities;</w:t>
      </w:r>
    </w:p>
    <w:p>
      <w:pPr>
        <w:pStyle w:val="Compact"/>
        <w:numPr>
          <w:ilvl w:val="0"/>
          <w:numId w:val="1006"/>
        </w:numPr>
      </w:pPr>
      <w:r>
        <w:t xml:space="preserve">industrial manufacturing;</w:t>
      </w:r>
    </w:p>
    <w:p>
      <w:pPr>
        <w:pStyle w:val="Compact"/>
        <w:numPr>
          <w:ilvl w:val="0"/>
          <w:numId w:val="1006"/>
        </w:numPr>
      </w:pPr>
      <w:r>
        <w:t xml:space="preserve">healthcare; and</w:t>
      </w:r>
    </w:p>
    <w:p>
      <w:pPr>
        <w:pStyle w:val="Compact"/>
        <w:numPr>
          <w:ilvl w:val="0"/>
          <w:numId w:val="1006"/>
        </w:numPr>
      </w:pPr>
      <w:r>
        <w:t xml:space="preserve">mining and minerals.</w:t>
      </w:r>
    </w:p>
    <w:p>
      <w:pPr>
        <w:pStyle w:val="FirstParagraph"/>
      </w:pPr>
      <w:r>
        <w:t xml:space="preserve">The important question is whether demand is broadening. URI has characterized local markets as stable rather than a major growth engine, while large projects and specialty have driven the upside.</w:t>
      </w:r>
    </w:p>
    <w:p>
      <w:pPr>
        <w:pStyle w:val="BodyText"/>
      </w:pPr>
      <w:r>
        <w:t xml:space="preserve">Listen for changes in:</w:t>
      </w:r>
    </w:p>
    <w:p>
      <w:pPr>
        <w:pStyle w:val="Compact"/>
        <w:numPr>
          <w:ilvl w:val="0"/>
          <w:numId w:val="1007"/>
        </w:numPr>
      </w:pPr>
      <w:r>
        <w:t xml:space="preserve">Project starts and schedules.</w:t>
      </w:r>
    </w:p>
    <w:p>
      <w:pPr>
        <w:pStyle w:val="Compact"/>
        <w:numPr>
          <w:ilvl w:val="0"/>
          <w:numId w:val="1007"/>
        </w:numPr>
      </w:pPr>
      <w:r>
        <w:t xml:space="preserve">Customer backlogs.</w:t>
      </w:r>
    </w:p>
    <w:p>
      <w:pPr>
        <w:pStyle w:val="Compact"/>
        <w:numPr>
          <w:ilvl w:val="0"/>
          <w:numId w:val="1007"/>
        </w:numPr>
      </w:pPr>
      <w:r>
        <w:t xml:space="preserve">Dirt-equipment demand as an early-cycle indicator.</w:t>
      </w:r>
    </w:p>
    <w:p>
      <w:pPr>
        <w:pStyle w:val="Compact"/>
        <w:numPr>
          <w:ilvl w:val="0"/>
          <w:numId w:val="1007"/>
        </w:numPr>
      </w:pPr>
      <w:r>
        <w:t xml:space="preserve">Petrochemical activity, which had not yet become a meaningful growth contributor.</w:t>
      </w:r>
    </w:p>
    <w:p>
      <w:pPr>
        <w:pStyle w:val="Compact"/>
        <w:numPr>
          <w:ilvl w:val="0"/>
          <w:numId w:val="1007"/>
        </w:numPr>
      </w:pPr>
      <w:r>
        <w:t xml:space="preserve">Smaller contractor confidence.</w:t>
      </w:r>
    </w:p>
    <w:p>
      <w:pPr>
        <w:pStyle w:val="Compact"/>
        <w:numPr>
          <w:ilvl w:val="0"/>
          <w:numId w:val="1007"/>
        </w:numPr>
      </w:pPr>
      <w:r>
        <w:t xml:space="preserve">Geographic differences in local construction activity.</w:t>
      </w:r>
    </w:p>
    <w:p>
      <w:pPr>
        <w:pStyle w:val="FirstParagraph"/>
      </w:pPr>
      <w:r>
        <w:t xml:space="preserve">Data-center commentary will attract attention, but broad strength outside data centers would be the more durable signal.</w:t>
      </w:r>
    </w:p>
    <w:bookmarkEnd w:id="18"/>
    <w:bookmarkStart w:id="19" w:name="X90c5f7632fe5d76f3f70910ad970501f8041c5e"/>
    <w:p>
      <w:pPr>
        <w:pStyle w:val="Heading3"/>
      </w:pPr>
      <w:r>
        <w:t xml:space="preserve">5. Full-year guidance and cash conversion</w:t>
      </w:r>
    </w:p>
    <w:p>
      <w:pPr>
        <w:pStyle w:val="FirstParagraph"/>
      </w:pPr>
      <w:r>
        <w:t xml:space="preserve">Current 2026 guidance is:</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Metric</w:t>
            </w:r>
          </w:p>
        </w:tc>
        <w:tc>
          <w:tcPr/>
          <w:p>
            <w:pPr>
              <w:pStyle w:val="Compact"/>
              <w:jc w:val="right"/>
            </w:pPr>
            <w:r>
              <w:t xml:space="preserve">Current guidance</w:t>
            </w:r>
          </w:p>
        </w:tc>
      </w:tr>
      <w:tr>
        <w:tc>
          <w:tcPr/>
          <w:p>
            <w:pPr>
              <w:pStyle w:val="Compact"/>
            </w:pPr>
            <w:r>
              <w:t xml:space="preserve">Revenue</w:t>
            </w:r>
          </w:p>
        </w:tc>
        <w:tc>
          <w:tcPr/>
          <w:p>
            <w:pPr>
              <w:pStyle w:val="Compact"/>
              <w:jc w:val="right"/>
            </w:pPr>
            <m:oMath>
              <m:r>
                <m:t>16.9</m:t>
              </m:r>
              <m:r>
                <m:t>B</m:t>
              </m:r>
              <m:r>
                <m:rPr>
                  <m:sty m:val="p"/>
                </m:rPr>
                <m:t>–</m:t>
              </m:r>
            </m:oMath>
            <w:r>
              <w:rPr>
                <w:b/>
                <w:bCs/>
              </w:rPr>
              <w:t xml:space="preserve">17.4B</w:t>
            </w:r>
          </w:p>
        </w:tc>
      </w:tr>
      <w:tr>
        <w:tc>
          <w:tcPr/>
          <w:p>
            <w:pPr>
              <w:pStyle w:val="Compact"/>
            </w:pPr>
            <w:r>
              <w:t xml:space="preserve">Adjusted EBITDA</w:t>
            </w:r>
          </w:p>
        </w:tc>
        <w:tc>
          <w:tcPr/>
          <w:p>
            <w:pPr>
              <w:pStyle w:val="Compact"/>
              <w:jc w:val="right"/>
            </w:pPr>
            <m:oMath>
              <m:r>
                <m:t>7.625</m:t>
              </m:r>
              <m:r>
                <m:t>B</m:t>
              </m:r>
              <m:r>
                <m:rPr>
                  <m:sty m:val="p"/>
                </m:rPr>
                <m:t>–</m:t>
              </m:r>
            </m:oMath>
            <w:r>
              <w:rPr>
                <w:b/>
                <w:bCs/>
              </w:rPr>
              <w:t xml:space="preserve">7.875B</w:t>
            </w:r>
          </w:p>
        </w:tc>
      </w:tr>
      <w:tr>
        <w:tc>
          <w:tcPr/>
          <w:p>
            <w:pPr>
              <w:pStyle w:val="Compact"/>
            </w:pPr>
            <w:r>
              <w:t xml:space="preserve">Gross rental capex</w:t>
            </w:r>
          </w:p>
        </w:tc>
        <w:tc>
          <w:tcPr/>
          <w:p>
            <w:pPr>
              <w:pStyle w:val="Compact"/>
              <w:jc w:val="right"/>
            </w:pPr>
            <m:oMath>
              <m:r>
                <m:t>4.4</m:t>
              </m:r>
              <m:r>
                <m:t>B</m:t>
              </m:r>
              <m:r>
                <m:rPr>
                  <m:sty m:val="p"/>
                </m:rPr>
                <m:t>–</m:t>
              </m:r>
            </m:oMath>
            <w:r>
              <w:rPr>
                <w:b/>
                <w:bCs/>
              </w:rPr>
              <w:t xml:space="preserve">4.8B</w:t>
            </w:r>
          </w:p>
        </w:tc>
      </w:tr>
      <w:tr>
        <w:tc>
          <w:tcPr/>
          <w:p>
            <w:pPr>
              <w:pStyle w:val="Compact"/>
            </w:pPr>
            <w:r>
              <w:t xml:space="preserve">Net rental capex</w:t>
            </w:r>
          </w:p>
        </w:tc>
        <w:tc>
          <w:tcPr/>
          <w:p>
            <w:pPr>
              <w:pStyle w:val="Compact"/>
              <w:jc w:val="right"/>
            </w:pPr>
            <m:oMath>
              <m:r>
                <m:t>2.95</m:t>
              </m:r>
              <m:r>
                <m:t>B</m:t>
              </m:r>
              <m:r>
                <m:rPr>
                  <m:sty m:val="p"/>
                </m:rPr>
                <m:t>–</m:t>
              </m:r>
            </m:oMath>
            <w:r>
              <w:rPr>
                <w:b/>
                <w:bCs/>
              </w:rPr>
              <w:t xml:space="preserve">3.35B</w:t>
            </w:r>
          </w:p>
        </w:tc>
      </w:tr>
      <w:tr>
        <w:tc>
          <w:tcPr/>
          <w:p>
            <w:pPr>
              <w:pStyle w:val="Compact"/>
            </w:pPr>
            <w:r>
              <w:t xml:space="preserve">Operating cash flow</w:t>
            </w:r>
          </w:p>
        </w:tc>
        <w:tc>
          <w:tcPr/>
          <w:p>
            <w:pPr>
              <w:pStyle w:val="Compact"/>
              <w:jc w:val="right"/>
            </w:pPr>
            <m:oMath>
              <m:r>
                <m:t>5.4</m:t>
              </m:r>
              <m:r>
                <m:t>B</m:t>
              </m:r>
              <m:r>
                <m:rPr>
                  <m:sty m:val="p"/>
                </m:rPr>
                <m:t>–</m:t>
              </m:r>
            </m:oMath>
            <w:r>
              <w:rPr>
                <w:b/>
                <w:bCs/>
              </w:rPr>
              <w:t xml:space="preserve">6.2B</w:t>
            </w:r>
          </w:p>
        </w:tc>
      </w:tr>
      <w:tr>
        <w:tc>
          <w:tcPr/>
          <w:p>
            <w:pPr>
              <w:pStyle w:val="Compact"/>
            </w:pPr>
            <w:r>
              <w:t xml:space="preserve">Free cash flow, excluding restructuring payments</w:t>
            </w:r>
          </w:p>
        </w:tc>
        <w:tc>
          <w:tcPr/>
          <w:p>
            <w:pPr>
              <w:pStyle w:val="Compact"/>
              <w:jc w:val="right"/>
            </w:pPr>
            <m:oMath>
              <m:r>
                <m:t>2.15</m:t>
              </m:r>
              <m:r>
                <m:t>B</m:t>
              </m:r>
              <m:r>
                <m:rPr>
                  <m:sty m:val="p"/>
                </m:rPr>
                <m:t>–</m:t>
              </m:r>
            </m:oMath>
            <w:r>
              <w:rPr>
                <w:b/>
                <w:bCs/>
              </w:rPr>
              <w:t xml:space="preserve">2.45B</w:t>
            </w:r>
          </w:p>
        </w:tc>
      </w:tr>
    </w:tbl>
    <w:p>
      <w:pPr>
        <w:pStyle w:val="BodyText"/>
      </w:pPr>
      <w:r>
        <w:t xml:space="preserve">URI raised revenue, EBITDA and capex guidance after Q1 but left free-cash-flow guidance unchanged. It also planned $1.5 billion of 2026 repurchases, alongside its dividend. (</w:t>
      </w:r>
      <w:hyperlink r:id="rId14">
        <w:r>
          <w:rPr>
            <w:rStyle w:val="Hyperlink"/>
          </w:rPr>
          <w:t xml:space="preserve">investor-relations.unitedrentals.com</w:t>
        </w:r>
      </w:hyperlink>
      <w:r>
        <w:t xml:space="preserve">)</w:t>
      </w:r>
    </w:p>
    <w:p>
      <w:pPr>
        <w:pStyle w:val="BodyText"/>
      </w:pPr>
      <w:r>
        <w:t xml:space="preserve">Given the strong Q1 start and management’s constructive demand commentary,</w:t>
      </w:r>
      <w:r>
        <w:t xml:space="preserve"> </w:t>
      </w:r>
      <w:r>
        <w:rPr>
          <w:b/>
          <w:bCs/>
        </w:rPr>
        <w:t xml:space="preserve">unchanged guidance could be interpreted cautiously</w:t>
      </w:r>
      <w:r>
        <w:t xml:space="preserve">, especially if the company beats Q2 consensus. A modest raise would likely be viewed as the base-case outcome.</w:t>
      </w:r>
    </w:p>
    <w:p>
      <w:pPr>
        <w:pStyle w:val="BodyText"/>
      </w:pPr>
      <w:r>
        <w:t xml:space="preserve">The quality of any raise matters:</w:t>
      </w:r>
    </w:p>
    <w:p>
      <w:pPr>
        <w:pStyle w:val="Compact"/>
        <w:numPr>
          <w:ilvl w:val="0"/>
          <w:numId w:val="1008"/>
        </w:numPr>
      </w:pPr>
      <w:r>
        <w:rPr>
          <w:b/>
          <w:bCs/>
        </w:rPr>
        <w:t xml:space="preserve">Best:</w:t>
      </w:r>
      <w:r>
        <w:t xml:space="preserve"> </w:t>
      </w:r>
      <w:r>
        <w:t xml:space="preserve">Revenue and EBITDA increase, margins remain protected, and free cash flow is maintained or raised.</w:t>
      </w:r>
    </w:p>
    <w:p>
      <w:pPr>
        <w:pStyle w:val="Compact"/>
        <w:numPr>
          <w:ilvl w:val="0"/>
          <w:numId w:val="1008"/>
        </w:numPr>
      </w:pPr>
      <w:r>
        <w:rPr>
          <w:b/>
          <w:bCs/>
        </w:rPr>
        <w:t xml:space="preserve">Mixed:</w:t>
      </w:r>
      <w:r>
        <w:t xml:space="preserve"> </w:t>
      </w:r>
      <w:r>
        <w:t xml:space="preserve">Revenue and capex increase, but EBITDA and free cash flow do not.</w:t>
      </w:r>
    </w:p>
    <w:p>
      <w:pPr>
        <w:pStyle w:val="Compact"/>
        <w:numPr>
          <w:ilvl w:val="0"/>
          <w:numId w:val="1008"/>
        </w:numPr>
      </w:pPr>
      <w:r>
        <w:rPr>
          <w:b/>
          <w:bCs/>
        </w:rPr>
        <w:t xml:space="preserve">Negative:</w:t>
      </w:r>
      <w:r>
        <w:t xml:space="preserve"> </w:t>
      </w:r>
      <w:r>
        <w:t xml:space="preserve">Guidance is maintained or lowered because of weaker productivity, project delays or higher costs.</w:t>
      </w:r>
    </w:p>
    <w:bookmarkEnd w:id="19"/>
    <w:bookmarkEnd w:id="20"/>
    <w:bookmarkStart w:id="23" w:name="other-numbers-worth-monitoring"/>
    <w:p>
      <w:pPr>
        <w:pStyle w:val="Heading2"/>
      </w:pPr>
      <w:r>
        <w:t xml:space="preserve">Other numbers worth monitoring</w:t>
      </w:r>
    </w:p>
    <w:bookmarkStart w:id="21" w:name="used-equipment-market"/>
    <w:p>
      <w:pPr>
        <w:pStyle w:val="Heading3"/>
      </w:pPr>
      <w:r>
        <w:t xml:space="preserve">Used-equipment market</w:t>
      </w:r>
    </w:p>
    <w:p>
      <w:pPr>
        <w:pStyle w:val="FirstParagraph"/>
      </w:pPr>
      <w:r>
        <w:t xml:space="preserve">Q1 used-equipment proceeds were $350 million, with a 51.5% recovery rate and 47.4% adjusted gross margin. URI expected approximately $1.45 billion of full-year used-equipment sales.</w:t>
      </w:r>
    </w:p>
    <w:p>
      <w:pPr>
        <w:pStyle w:val="BodyText"/>
      </w:pPr>
      <w:r>
        <w:t xml:space="preserve">Used pricing is an important secondary indicator of industry fleet discipline and residual values. A sharp deterioration in recovery rates could pressure both earnings and future fleet economics.</w:t>
      </w:r>
    </w:p>
    <w:bookmarkEnd w:id="21"/>
    <w:bookmarkStart w:id="22" w:name="capital-allocation-and-leverage"/>
    <w:p>
      <w:pPr>
        <w:pStyle w:val="Heading3"/>
      </w:pPr>
      <w:r>
        <w:t xml:space="preserve">Capital allocation and leverage</w:t>
      </w:r>
    </w:p>
    <w:p>
      <w:pPr>
        <w:pStyle w:val="FirstParagraph"/>
      </w:pPr>
      <w:r>
        <w:t xml:space="preserve">URI ended Q1 with:</w:t>
      </w:r>
    </w:p>
    <w:p>
      <w:pPr>
        <w:pStyle w:val="Compact"/>
        <w:numPr>
          <w:ilvl w:val="0"/>
          <w:numId w:val="1009"/>
        </w:numPr>
      </w:pPr>
      <w:r>
        <w:t xml:space="preserve">Net leverage of</w:t>
      </w:r>
      <w:r>
        <w:t xml:space="preserve"> </w:t>
      </w:r>
      <w:r>
        <w:rPr>
          <w:b/>
          <w:bCs/>
        </w:rPr>
        <w:t xml:space="preserve">1.9×</w:t>
      </w:r>
      <w:r>
        <w:t xml:space="preserve">;</w:t>
      </w:r>
    </w:p>
    <w:p>
      <w:pPr>
        <w:pStyle w:val="Compact"/>
        <w:numPr>
          <w:ilvl w:val="0"/>
          <w:numId w:val="1009"/>
        </w:numPr>
      </w:pPr>
      <w:r>
        <w:t xml:space="preserve">Liquidity of approximately</w:t>
      </w:r>
      <w:r>
        <w:t xml:space="preserve"> </w:t>
      </w:r>
      <w:r>
        <w:rPr>
          <w:b/>
          <w:bCs/>
        </w:rPr>
        <w:t xml:space="preserve">$3.4 billion</w:t>
      </w:r>
      <w:r>
        <w:t xml:space="preserve">;</w:t>
      </w:r>
    </w:p>
    <w:p>
      <w:pPr>
        <w:pStyle w:val="Compact"/>
        <w:numPr>
          <w:ilvl w:val="0"/>
          <w:numId w:val="1009"/>
        </w:numPr>
      </w:pPr>
      <w:r>
        <w:t xml:space="preserve">$375 million of Q1 repurchases; and</w:t>
      </w:r>
    </w:p>
    <w:p>
      <w:pPr>
        <w:pStyle w:val="Compact"/>
        <w:numPr>
          <w:ilvl w:val="0"/>
          <w:numId w:val="1009"/>
        </w:numPr>
      </w:pPr>
      <w:r>
        <w:t xml:space="preserve">$125 million of dividends paid.</w:t>
      </w:r>
    </w:p>
    <w:p>
      <w:pPr>
        <w:pStyle w:val="FirstParagraph"/>
      </w:pPr>
      <w:r>
        <w:t xml:space="preserve">The balance sheet provides room for organic investment, specialty acquisitions and continued shareholder returns. (</w:t>
      </w:r>
      <w:hyperlink r:id="rId14">
        <w:r>
          <w:rPr>
            <w:rStyle w:val="Hyperlink"/>
          </w:rPr>
          <w:t xml:space="preserve">investor-relations.unitedrentals.com</w:t>
        </w:r>
      </w:hyperlink>
      <w:r>
        <w:t xml:space="preserve">)</w:t>
      </w:r>
    </w:p>
    <w:p>
      <w:pPr>
        <w:pStyle w:val="BodyText"/>
      </w:pPr>
      <w:r>
        <w:t xml:space="preserve">The key question is whether higher fleet spending is producing sufficient revenue growth and returns. Capex growth is constructive when backed by firm project demand; it is less attractive if required merely to defend utilization or replace underproductive equipment.</w:t>
      </w:r>
    </w:p>
    <w:bookmarkEnd w:id="22"/>
    <w:bookmarkEnd w:id="23"/>
    <w:bookmarkStart w:id="27" w:name="potential-stock-reaction-framework"/>
    <w:p>
      <w:pPr>
        <w:pStyle w:val="Heading2"/>
      </w:pPr>
      <w:r>
        <w:t xml:space="preserve">Potential stock-reaction framework</w:t>
      </w:r>
    </w:p>
    <w:bookmarkStart w:id="24" w:name="bullish-outcome"/>
    <w:p>
      <w:pPr>
        <w:pStyle w:val="Heading3"/>
      </w:pPr>
      <w:r>
        <w:t xml:space="preserve">Bullish outcome</w:t>
      </w:r>
    </w:p>
    <w:p>
      <w:pPr>
        <w:pStyle w:val="Compact"/>
        <w:numPr>
          <w:ilvl w:val="0"/>
          <w:numId w:val="1010"/>
        </w:numPr>
      </w:pPr>
      <w:r>
        <w:t xml:space="preserve">Revenue above roughly $4.25 billion.</w:t>
      </w:r>
    </w:p>
    <w:p>
      <w:pPr>
        <w:pStyle w:val="Compact"/>
        <w:numPr>
          <w:ilvl w:val="0"/>
          <w:numId w:val="1010"/>
        </w:numPr>
      </w:pPr>
      <w:r>
        <w:t xml:space="preserve">Adjusted EPS clearly above the</w:t>
      </w:r>
      <w:r>
        <w:t xml:space="preserve"> </w:t>
      </w:r>
      <m:oMath>
        <m:r>
          <m:t>11.5</m:t>
        </m:r>
        <m:r>
          <m:rPr>
            <m:sty m:val="p"/>
          </m:rPr>
          <m:t>–</m:t>
        </m:r>
      </m:oMath>
      <w:r>
        <w:t xml:space="preserve">11.6 consensus range.</w:t>
      </w:r>
    </w:p>
    <w:p>
      <w:pPr>
        <w:pStyle w:val="Compact"/>
        <w:numPr>
          <w:ilvl w:val="0"/>
          <w:numId w:val="1010"/>
        </w:numPr>
      </w:pPr>
      <w:r>
        <w:t xml:space="preserve">Fleet productivity at least in the mid-2% area.</w:t>
      </w:r>
    </w:p>
    <w:p>
      <w:pPr>
        <w:pStyle w:val="Compact"/>
        <w:numPr>
          <w:ilvl w:val="0"/>
          <w:numId w:val="1010"/>
        </w:numPr>
      </w:pPr>
      <w:r>
        <w:t xml:space="preserve">EBITDA margin near or above 46%.</w:t>
      </w:r>
    </w:p>
    <w:p>
      <w:pPr>
        <w:pStyle w:val="Compact"/>
        <w:numPr>
          <w:ilvl w:val="0"/>
          <w:numId w:val="1010"/>
        </w:numPr>
      </w:pPr>
      <w:r>
        <w:t xml:space="preserve">Specialty growth remains in the low teens with improving margin trends.</w:t>
      </w:r>
    </w:p>
    <w:p>
      <w:pPr>
        <w:pStyle w:val="Compact"/>
        <w:numPr>
          <w:ilvl w:val="0"/>
          <w:numId w:val="1010"/>
        </w:numPr>
      </w:pPr>
      <w:r>
        <w:t xml:space="preserve">Full-year revenue and EBITDA guidance rises without a free-cash-flow reduction.</w:t>
      </w:r>
    </w:p>
    <w:bookmarkEnd w:id="24"/>
    <w:bookmarkStart w:id="25" w:name="neutral-outcome"/>
    <w:p>
      <w:pPr>
        <w:pStyle w:val="Heading3"/>
      </w:pPr>
      <w:r>
        <w:t xml:space="preserve">Neutral outcome</w:t>
      </w:r>
    </w:p>
    <w:p>
      <w:pPr>
        <w:pStyle w:val="Compact"/>
        <w:numPr>
          <w:ilvl w:val="0"/>
          <w:numId w:val="1011"/>
        </w:numPr>
      </w:pPr>
      <w:r>
        <w:t xml:space="preserve">Modest revenue and EPS beat.</w:t>
      </w:r>
    </w:p>
    <w:p>
      <w:pPr>
        <w:pStyle w:val="Compact"/>
        <w:numPr>
          <w:ilvl w:val="0"/>
          <w:numId w:val="1011"/>
        </w:numPr>
      </w:pPr>
      <w:r>
        <w:t xml:space="preserve">Fleet productivity around 2%.</w:t>
      </w:r>
    </w:p>
    <w:p>
      <w:pPr>
        <w:pStyle w:val="Compact"/>
        <w:numPr>
          <w:ilvl w:val="0"/>
          <w:numId w:val="1011"/>
        </w:numPr>
      </w:pPr>
      <w:r>
        <w:t xml:space="preserve">Margins roughly stable.</w:t>
      </w:r>
    </w:p>
    <w:p>
      <w:pPr>
        <w:pStyle w:val="Compact"/>
        <w:numPr>
          <w:ilvl w:val="0"/>
          <w:numId w:val="1011"/>
        </w:numPr>
      </w:pPr>
      <w:r>
        <w:t xml:space="preserve">Guidance raised only enough to reflect the quarterly beat.</w:t>
      </w:r>
    </w:p>
    <w:p>
      <w:pPr>
        <w:pStyle w:val="Compact"/>
        <w:numPr>
          <w:ilvl w:val="0"/>
          <w:numId w:val="1011"/>
        </w:numPr>
      </w:pPr>
      <w:r>
        <w:t xml:space="preserve">Constructive large-project demand but no improvement in local markets.</w:t>
      </w:r>
    </w:p>
    <w:bookmarkEnd w:id="25"/>
    <w:bookmarkStart w:id="26" w:name="bearish-outcome"/>
    <w:p>
      <w:pPr>
        <w:pStyle w:val="Heading3"/>
      </w:pPr>
      <w:r>
        <w:t xml:space="preserve">Bearish outcome</w:t>
      </w:r>
    </w:p>
    <w:p>
      <w:pPr>
        <w:pStyle w:val="Compact"/>
        <w:numPr>
          <w:ilvl w:val="0"/>
          <w:numId w:val="1012"/>
        </w:numPr>
      </w:pPr>
      <w:r>
        <w:t xml:space="preserve">Revenue at or below consensus.</w:t>
      </w:r>
    </w:p>
    <w:p>
      <w:pPr>
        <w:pStyle w:val="Compact"/>
        <w:numPr>
          <w:ilvl w:val="0"/>
          <w:numId w:val="1012"/>
        </w:numPr>
      </w:pPr>
      <w:r>
        <w:t xml:space="preserve">Fleet productivity falls below 1.5%, particularly because of rate or utilization.</w:t>
      </w:r>
    </w:p>
    <w:p>
      <w:pPr>
        <w:pStyle w:val="Compact"/>
        <w:numPr>
          <w:ilvl w:val="0"/>
          <w:numId w:val="1012"/>
        </w:numPr>
      </w:pPr>
      <w:r>
        <w:t xml:space="preserve">Delivery, labor or repositioning costs cause renewed margin compression.</w:t>
      </w:r>
    </w:p>
    <w:p>
      <w:pPr>
        <w:pStyle w:val="Compact"/>
        <w:numPr>
          <w:ilvl w:val="0"/>
          <w:numId w:val="1012"/>
        </w:numPr>
      </w:pPr>
      <w:r>
        <w:t xml:space="preserve">Specialty margins deteriorate further.</w:t>
      </w:r>
    </w:p>
    <w:p>
      <w:pPr>
        <w:pStyle w:val="Compact"/>
        <w:numPr>
          <w:ilvl w:val="0"/>
          <w:numId w:val="1012"/>
        </w:numPr>
      </w:pPr>
      <w:r>
        <w:t xml:space="preserve">Management maintains or cuts guidance despite the strong Q1 starting point.</w:t>
      </w:r>
    </w:p>
    <w:p>
      <w:pPr>
        <w:pStyle w:val="Compact"/>
        <w:numPr>
          <w:ilvl w:val="0"/>
          <w:numId w:val="1012"/>
        </w:numPr>
      </w:pPr>
      <w:r>
        <w:t xml:space="preserve">Higher capex is not accompanied by stronger EBITDA or cash-flow expectations.</w:t>
      </w:r>
    </w:p>
    <w:bookmarkEnd w:id="26"/>
    <w:bookmarkEnd w:id="27"/>
    <w:bookmarkStart w:id="28" w:name="bottom-line"/>
    <w:p>
      <w:pPr>
        <w:pStyle w:val="Heading2"/>
      </w:pPr>
      <w:r>
        <w:t xml:space="preserve">Bottom line</w:t>
      </w:r>
    </w:p>
    <w:p>
      <w:pPr>
        <w:pStyle w:val="FirstParagraph"/>
      </w:pPr>
      <w:r>
        <w:t xml:space="preserve">URI enters Q2 with strong operating momentum, substantial large-project exposure and evidence that cost controls are working. The main risk is not necessarily weak demand; it is that the market already expects continued strength.</w:t>
      </w:r>
    </w:p>
    <w:p>
      <w:pPr>
        <w:pStyle w:val="BodyText"/>
      </w:pPr>
      <w:r>
        <w:t xml:space="preserve">The cleanest positive thesis would be:</w:t>
      </w:r>
    </w:p>
    <w:p>
      <w:pPr>
        <w:pStyle w:val="BlockText"/>
      </w:pPr>
      <w:r>
        <w:rPr>
          <w:b/>
          <w:bCs/>
        </w:rPr>
        <w:t xml:space="preserve">Strong rental growth + fleet productivity above inflation + stable margins + a guidance raise.</w:t>
      </w:r>
    </w:p>
    <w:p>
      <w:pPr>
        <w:pStyle w:val="FirstParagraph"/>
      </w:pPr>
      <w:r>
        <w:t xml:space="preserve">Conversely, investors should look past an EPS beat if it is accompanied by weaker fleet productivity, worsening specialty profitability or higher capital intensity. For this report, the durability and quality of growth are likely to matter more than a few cents of earnings upside.</w:t>
      </w:r>
    </w:p>
    <w:bookmarkEnd w:id="28"/>
    <w:bookmarkEnd w:id="29"/>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9" Target="https://investor-relations.unitedrentals.com/default.aspx?utm_source=openai" TargetMode="External" /><Relationship Type="http://schemas.openxmlformats.org/officeDocument/2006/relationships/hyperlink" Id="rId14" Target="https://investor-relations.unitedrentals.com/press-releases/press-releases-details/2026/United-Rentals-Announces-Strong-First-Quarter-Results-and-Raises-Full-Year-2026-Guidance/default.aspx?utm_source=openai" TargetMode="External" /><Relationship Type="http://schemas.openxmlformats.org/officeDocument/2006/relationships/hyperlink" Id="rId12" Target="https://investors.unitedrentals.com/press-releases/press-releases-details/2025/United-Rentals-Announces-Second-Quarter-2025-Results-Raises-Full-Year-Guidance-and-Increases-Planned-2025-Share-Repurchases-by-400-Million-to-1-9-Billion/default.aspx?utm_source=openai" TargetMode="External" /><Relationship Type="http://schemas.openxmlformats.org/officeDocument/2006/relationships/hyperlink" Id="rId11" Target="https://www.marketbeat.com/earnings/reports/2026-7-22-united-rentals-inc-stock/" TargetMode="External" /></Relationships>
</file>

<file path=word/_rels/footnotes.xml.rels><?xml version="1.0" encoding="UTF-8"?><Relationships xmlns="http://schemas.openxmlformats.org/package/2006/relationships"><Relationship Type="http://schemas.openxmlformats.org/officeDocument/2006/relationships/hyperlink" Id="rId9" Target="https://investor-relations.unitedrentals.com/default.aspx?utm_source=openai" TargetMode="External" /><Relationship Type="http://schemas.openxmlformats.org/officeDocument/2006/relationships/hyperlink" Id="rId14" Target="https://investor-relations.unitedrentals.com/press-releases/press-releases-details/2026/United-Rentals-Announces-Strong-First-Quarter-Results-and-Raises-Full-Year-2026-Guidance/default.aspx?utm_source=openai" TargetMode="External" /><Relationship Type="http://schemas.openxmlformats.org/officeDocument/2006/relationships/hyperlink" Id="rId12" Target="https://investors.unitedrentals.com/press-releases/press-releases-details/2025/United-Rentals-Announces-Second-Quarter-2025-Results-Raises-Full-Year-Guidance-and-Increases-Planned-2025-Share-Repurchases-by-400-Million-to-1-9-Billion/default.aspx?utm_source=openai" TargetMode="External" /><Relationship Type="http://schemas.openxmlformats.org/officeDocument/2006/relationships/hyperlink" Id="rId11" Target="https://www.marketbeat.com/earnings/reports/2026-7-22-united-rentals-inc-stock/"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2026-07-22T01:09:20Z</dcterms:created>
  <dcterms:modified xsi:type="dcterms:W3CDTF">2026-07-22T01:09:20Z</dcterms:modified>
</cp:coreProperties>
</file>

<file path=docProps/custom.xml><?xml version="1.0" encoding="utf-8"?>
<Properties xmlns="http://schemas.openxmlformats.org/officeDocument/2006/custom-properties" xmlns:vt="http://schemas.openxmlformats.org/officeDocument/2006/docPropsVTypes"/>
</file>