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United Rentals, Inc. (URI)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United Rentals, Inc. (URI)</w:t>
            </w:r>
          </w:p>
        </w:tc>
      </w:tr>
      <w:tr>
        <w:tc>
          <w:tcPr>
            <w:tcW w:type="dxa" w:w="4320"/>
          </w:tcPr>
          <w:p>
            <w:r>
              <w:rPr>
                <w:rFonts w:ascii="Calibri" w:hAnsi="Calibri"/>
                <w:b/>
                <w:sz w:val="22"/>
              </w:rPr>
              <w:t>Upcoming Earnings Date</w:t>
            </w:r>
          </w:p>
        </w:tc>
        <w:tc>
          <w:tcPr>
            <w:tcW w:type="dxa" w:w="4320"/>
          </w:tcPr>
          <w:p>
            <w:r>
              <w:rPr>
                <w:rFonts w:ascii="Calibri" w:hAnsi="Calibri"/>
                <w:sz w:val="22"/>
              </w:rPr>
              <w:t>July 22, 2026 — After Market Close</w:t>
            </w:r>
          </w:p>
        </w:tc>
      </w:tr>
      <w:tr>
        <w:tc>
          <w:tcPr>
            <w:tcW w:type="dxa" w:w="4320"/>
          </w:tcPr>
          <w:p>
            <w:r>
              <w:rPr>
                <w:rFonts w:ascii="Calibri" w:hAnsi="Calibri"/>
                <w:b/>
                <w:sz w:val="22"/>
              </w:rPr>
              <w:t>Conference Call</w:t>
            </w:r>
          </w:p>
        </w:tc>
        <w:tc>
          <w:tcPr>
            <w:tcW w:type="dxa" w:w="4320"/>
          </w:tcPr>
          <w:p>
            <w:r>
              <w:rPr>
                <w:rFonts w:ascii="Calibri" w:hAnsi="Calibri"/>
                <w:sz w:val="22"/>
              </w:rPr>
              <w:t>July 23, 2026 at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moderate bar, the busy-season tailwind is real, and the matting project that was absent in Q1 should now be contributing — but the key swing factor is whether delivery cost discipline held through the peak-activity quarter.</w:t>
      </w:r>
    </w:p>
    <w:p>
      <w:r>
        <w:rPr>
          <w:rFonts w:ascii="Calibri" w:hAnsi="Calibri"/>
          <w:color w:val="525866"/>
          <w:sz w:val="22"/>
        </w:rPr>
        <w:t xml:space="preserve">URI enters Q2 2026 with strong momentum off a record Q1 beat, a raised full-year guide, and a management team that shifted decisively from defensive to confident. </w:t>
      </w:r>
      <w:r>
        <w:rPr>
          <w:rFonts w:ascii="Calibri" w:hAnsi="Calibri"/>
          <w:b/>
          <w:color w:val="525866"/>
          <w:sz w:val="22"/>
        </w:rPr>
        <w:t>Consensus is looking for ~$4.20B in revenue (+6.5% YoY) and ~$1.92B in adjusted EBITDA (~45.6% margin)</w:t>
      </w:r>
      <w:r>
        <w:rPr>
          <w:rFonts w:ascii="Calibri" w:hAnsi="Calibri"/>
          <w:color w:val="525866"/>
          <w:sz w:val="22"/>
        </w:rPr>
        <w:t xml:space="preserve">, both of which represent a moderate bar given the Q1 outperformance and the seasonal step-up that Q2 historically delivers. The matting project — which had not yet fully kicked off as of Q1 — was expected to begin in Q2, providing an incremental fleet productivity tailwind that was not present in the Q1 beat; if it ramped as planned, fleet productivity should comfortably clear the 1.5% inflation bogey again. Management's tone on the Q1 call was unambiguously bullish, citing broad-based large project demand across healthcare, infrastructure, power, and data centers, stable local markets, and specialty growing 14% YoY — all of which should carry into Q2. Estimate revisions have been modestly positive since the Q1 print, with the FY2026 revenue consensus nudging up to ~$17.24B from ~$17.25B at the post-Q1 baseline, broadly in line with the raised guidance midpoint of $17.15B. The stock has already priced in a meaningful portion of the good news — URI is up ~26% since the Q1 earnings date vs. XLI +4.5% and SPY +5.2% — trading at roughly 22–23x forward earnings, above its historical average, so the bar for a positive reaction is higher than usual. </w:t>
      </w:r>
      <w:r>
        <w:rPr>
          <w:rFonts w:ascii="Calibri" w:hAnsi="Calibri"/>
          <w:b/>
          <w:color w:val="525866"/>
          <w:sz w:val="22"/>
        </w:rPr>
        <w:t>The single biggest wildcard is delivery cost execution through the peak busy season: management flagged Q2/Q3 delivery costs as the primary execution risk to flat full-year margins, and any slippage there could offset the revenue beat and pressure the stock despite solid top-line results.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 beatable bar on revenue and EBITDA given Q1 momentum and the matting project tailwind, but the margin line is the bigger swing factor — any delivery cost slippage in the peak season could disappoint even if revenue beats.</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(Raised Q1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$3.985B</w:t>
            </w:r>
          </w:p>
        </w:tc>
        <w:tc>
          <w:tcPr>
            <w:tcW w:type="dxa" w:w="1234"/>
          </w:tcPr>
          <w:p>
            <w:r>
              <w:rPr>
                <w:rFonts w:ascii="Calibri" w:hAnsi="Calibri"/>
                <w:sz w:val="22"/>
              </w:rPr>
              <w:t>$3.943B</w:t>
            </w:r>
          </w:p>
        </w:tc>
        <w:tc>
          <w:tcPr>
            <w:tcW w:type="dxa" w:w="1234"/>
          </w:tcPr>
          <w:p>
            <w:r>
              <w:rPr>
                <w:rFonts w:ascii="Calibri" w:hAnsi="Calibri"/>
                <w:sz w:val="22"/>
              </w:rPr>
              <w:t>$4.204B</w:t>
            </w:r>
          </w:p>
        </w:tc>
        <w:tc>
          <w:tcPr>
            <w:tcW w:type="dxa" w:w="1234"/>
          </w:tcPr>
          <w:p>
            <w:r>
              <w:rPr>
                <w:rFonts w:ascii="Calibri" w:hAnsi="Calibri"/>
                <w:sz w:val="22"/>
              </w:rPr>
              <w:t>+6.6%</w:t>
            </w:r>
          </w:p>
        </w:tc>
        <w:tc>
          <w:tcPr>
            <w:tcW w:type="dxa" w:w="1234"/>
          </w:tcPr>
          <w:p>
            <w:r>
              <w:rPr>
                <w:rFonts w:ascii="Calibri" w:hAnsi="Calibri"/>
                <w:sz w:val="22"/>
              </w:rPr>
              <w:t>$16.9B–$17.4B ($17.15B mid)</w:t>
            </w:r>
          </w:p>
        </w:tc>
        <w:tc>
          <w:tcPr>
            <w:tcW w:type="dxa" w:w="1234"/>
          </w:tcPr>
          <w:p>
            <w:r>
              <w:rPr>
                <w:rFonts w:ascii="Calibri" w:hAnsi="Calibri"/>
                <w:sz w:val="22"/>
              </w:rPr>
              <w:t>~+0.5% above mid</w:t>
            </w:r>
          </w:p>
        </w:tc>
      </w:tr>
      <w:tr>
        <w:tc>
          <w:tcPr>
            <w:tcW w:type="dxa" w:w="1234"/>
          </w:tcPr>
          <w:p>
            <w:r>
              <w:rPr>
                <w:rFonts w:ascii="Calibri" w:hAnsi="Calibri"/>
                <w:sz w:val="22"/>
              </w:rPr>
              <w:t>Adj. EBITDA ($B)</w:t>
            </w:r>
          </w:p>
        </w:tc>
        <w:tc>
          <w:tcPr>
            <w:tcW w:type="dxa" w:w="1234"/>
          </w:tcPr>
          <w:p>
            <w:r>
              <w:rPr>
                <w:rFonts w:ascii="Calibri" w:hAnsi="Calibri"/>
                <w:sz w:val="22"/>
              </w:rPr>
              <w:t>$1.759B</w:t>
            </w:r>
          </w:p>
        </w:tc>
        <w:tc>
          <w:tcPr>
            <w:tcW w:type="dxa" w:w="1234"/>
          </w:tcPr>
          <w:p>
            <w:r>
              <w:rPr>
                <w:rFonts w:ascii="Calibri" w:hAnsi="Calibri"/>
                <w:sz w:val="22"/>
              </w:rPr>
              <w:t>$1.810B</w:t>
            </w:r>
          </w:p>
        </w:tc>
        <w:tc>
          <w:tcPr>
            <w:tcW w:type="dxa" w:w="1234"/>
          </w:tcPr>
          <w:p>
            <w:r>
              <w:rPr>
                <w:rFonts w:ascii="Calibri" w:hAnsi="Calibri"/>
                <w:sz w:val="22"/>
              </w:rPr>
              <w:t>$1.915B</w:t>
            </w:r>
          </w:p>
        </w:tc>
        <w:tc>
          <w:tcPr>
            <w:tcW w:type="dxa" w:w="1234"/>
          </w:tcPr>
          <w:p>
            <w:r>
              <w:rPr>
                <w:rFonts w:ascii="Calibri" w:hAnsi="Calibri"/>
                <w:sz w:val="22"/>
              </w:rPr>
              <w:t>+5.8%</w:t>
            </w:r>
          </w:p>
        </w:tc>
        <w:tc>
          <w:tcPr>
            <w:tcW w:type="dxa" w:w="1234"/>
          </w:tcPr>
          <w:p>
            <w:r>
              <w:rPr>
                <w:rFonts w:ascii="Calibri" w:hAnsi="Calibri"/>
                <w:sz w:val="22"/>
              </w:rPr>
              <w:t>$7.625B–$7.875B ($7.75B mid)</w:t>
            </w:r>
          </w:p>
        </w:tc>
        <w:tc>
          <w:tcPr>
            <w:tcW w:type="dxa" w:w="1234"/>
          </w:tcPr>
          <w:p>
            <w:r>
              <w:rPr>
                <w:rFonts w:ascii="Calibri" w:hAnsi="Calibri"/>
                <w:sz w:val="22"/>
              </w:rPr>
              <w:t>~+0.6% above mid</w:t>
            </w:r>
          </w:p>
        </w:tc>
      </w:tr>
      <w:tr>
        <w:tc>
          <w:tcPr>
            <w:tcW w:type="dxa" w:w="1234"/>
          </w:tcPr>
          <w:p>
            <w:r>
              <w:rPr>
                <w:rFonts w:ascii="Calibri" w:hAnsi="Calibri"/>
                <w:sz w:val="22"/>
              </w:rPr>
              <w:t>Adj. EBITDA Margin (%)</w:t>
            </w:r>
          </w:p>
        </w:tc>
        <w:tc>
          <w:tcPr>
            <w:tcW w:type="dxa" w:w="1234"/>
          </w:tcPr>
          <w:p>
            <w:r>
              <w:rPr>
                <w:rFonts w:ascii="Calibri" w:hAnsi="Calibri"/>
                <w:sz w:val="22"/>
              </w:rPr>
              <w:t>44.1%</w:t>
            </w:r>
          </w:p>
        </w:tc>
        <w:tc>
          <w:tcPr>
            <w:tcW w:type="dxa" w:w="1234"/>
          </w:tcPr>
          <w:p>
            <w:r>
              <w:rPr>
                <w:rFonts w:ascii="Calibri" w:hAnsi="Calibri"/>
                <w:sz w:val="22"/>
              </w:rPr>
              <w:t>45.9%</w:t>
            </w:r>
          </w:p>
        </w:tc>
        <w:tc>
          <w:tcPr>
            <w:tcW w:type="dxa" w:w="1234"/>
          </w:tcPr>
          <w:p>
            <w:r>
              <w:rPr>
                <w:rFonts w:ascii="Calibri" w:hAnsi="Calibri"/>
                <w:sz w:val="22"/>
              </w:rPr>
              <w:t>45.6%</w:t>
            </w:r>
          </w:p>
        </w:tc>
        <w:tc>
          <w:tcPr>
            <w:tcW w:type="dxa" w:w="1234"/>
          </w:tcPr>
          <w:p>
            <w:r>
              <w:rPr>
                <w:rFonts w:ascii="Calibri" w:hAnsi="Calibri"/>
                <w:sz w:val="22"/>
              </w:rPr>
              <w:t>-30 bps YoY</w:t>
            </w:r>
          </w:p>
        </w:tc>
        <w:tc>
          <w:tcPr>
            <w:tcW w:type="dxa" w:w="1234"/>
          </w:tcPr>
          <w:p>
            <w:r>
              <w:rPr>
                <w:rFonts w:ascii="Calibri" w:hAnsi="Calibri"/>
                <w:sz w:val="22"/>
              </w:rPr>
              <w:t>Flat YoY (ex-H&amp;E benefit)</w:t>
            </w:r>
          </w:p>
        </w:tc>
        <w:tc>
          <w:tcPr>
            <w:tcW w:type="dxa" w:w="1234"/>
          </w:tcPr>
          <w:p>
            <w:r>
              <w:rPr>
                <w:rFonts w:ascii="Calibri" w:hAnsi="Calibri"/>
                <w:sz w:val="22"/>
              </w:rPr>
              <w:t>~In line</w:t>
            </w:r>
          </w:p>
        </w:tc>
      </w:tr>
      <w:tr>
        <w:tc>
          <w:tcPr>
            <w:tcW w:type="dxa" w:w="1234"/>
          </w:tcPr>
          <w:p>
            <w:r>
              <w:rPr>
                <w:rFonts w:ascii="Calibri" w:hAnsi="Calibri"/>
                <w:sz w:val="22"/>
              </w:rPr>
              <w:t>Fleet Productivity (%)</w:t>
            </w:r>
          </w:p>
        </w:tc>
        <w:tc>
          <w:tcPr>
            <w:tcW w:type="dxa" w:w="1234"/>
          </w:tcPr>
          <w:p>
            <w:r>
              <w:rPr>
                <w:rFonts w:ascii="Calibri" w:hAnsi="Calibri"/>
                <w:sz w:val="22"/>
              </w:rPr>
              <w:t>2.3%</w:t>
            </w:r>
          </w:p>
        </w:tc>
        <w:tc>
          <w:tcPr>
            <w:tcW w:type="dxa" w:w="1234"/>
          </w:tcPr>
          <w:p>
            <w:r>
              <w:rPr>
                <w:rFonts w:ascii="Calibri" w:hAnsi="Calibri"/>
                <w:sz w:val="22"/>
              </w:rPr>
              <w:t>3.3%</w:t>
            </w:r>
          </w:p>
        </w:tc>
        <w:tc>
          <w:tcPr>
            <w:tcW w:type="dxa" w:w="1234"/>
          </w:tcPr>
          <w:p>
            <w:r>
              <w:rPr>
                <w:rFonts w:ascii="Calibri" w:hAnsi="Calibri"/>
                <w:sz w:val="22"/>
              </w:rPr>
              <w:t>~2.0%</w:t>
            </w:r>
          </w:p>
        </w:tc>
        <w:tc>
          <w:tcPr>
            <w:tcW w:type="dxa" w:w="1234"/>
          </w:tcPr>
          <w:p>
            <w:r>
              <w:rPr>
                <w:rFonts w:ascii="Calibri" w:hAnsi="Calibri"/>
                <w:sz w:val="22"/>
              </w:rPr>
              <w:t>-130 bps YoY</w:t>
            </w:r>
          </w:p>
        </w:tc>
        <w:tc>
          <w:tcPr>
            <w:tcW w:type="dxa" w:w="1234"/>
          </w:tcPr>
          <w:p>
            <w:r>
              <w:rPr>
                <w:rFonts w:ascii="Calibri" w:hAnsi="Calibri"/>
                <w:sz w:val="22"/>
              </w:rPr>
              <w:t>&gt;1.5% (inflation bogey)</w:t>
            </w:r>
          </w:p>
        </w:tc>
        <w:tc>
          <w:tcPr>
            <w:tcW w:type="dxa" w:w="1234"/>
          </w:tcPr>
          <w:p>
            <w:r>
              <w:rPr>
                <w:rFonts w:ascii="Calibri" w:hAnsi="Calibri"/>
                <w:sz w:val="22"/>
              </w:rPr>
              <w:t>~+50 bps above bogey</w:t>
            </w:r>
          </w:p>
        </w:tc>
      </w:tr>
      <w:tr>
        <w:tc>
          <w:tcPr>
            <w:tcW w:type="dxa" w:w="1234"/>
          </w:tcPr>
          <w:p>
            <w:r>
              <w:rPr>
                <w:rFonts w:ascii="Calibri" w:hAnsi="Calibri"/>
                <w:sz w:val="22"/>
              </w:rPr>
              <w:t>Adj. EPS — Diluted (Excl. Merger Adj.) ($)</w:t>
            </w:r>
          </w:p>
        </w:tc>
        <w:tc>
          <w:tcPr>
            <w:tcW w:type="dxa" w:w="1234"/>
          </w:tcPr>
          <w:p>
            <w:r>
              <w:rPr>
                <w:rFonts w:ascii="Calibri" w:hAnsi="Calibri"/>
                <w:sz w:val="22"/>
              </w:rPr>
              <w:t>$9.28</w:t>
            </w:r>
          </w:p>
        </w:tc>
        <w:tc>
          <w:tcPr>
            <w:tcW w:type="dxa" w:w="1234"/>
          </w:tcPr>
          <w:p>
            <w:r>
              <w:rPr>
                <w:rFonts w:ascii="Calibri" w:hAnsi="Calibri"/>
                <w:sz w:val="22"/>
              </w:rPr>
              <w:t>$9.96</w:t>
            </w:r>
          </w:p>
        </w:tc>
        <w:tc>
          <w:tcPr>
            <w:tcW w:type="dxa" w:w="1234"/>
          </w:tcPr>
          <w:p>
            <w:r>
              <w:rPr>
                <w:rFonts w:ascii="Calibri" w:hAnsi="Calibri"/>
                <w:sz w:val="22"/>
              </w:rPr>
              <w:t>$11.26</w:t>
            </w:r>
          </w:p>
        </w:tc>
        <w:tc>
          <w:tcPr>
            <w:tcW w:type="dxa" w:w="1234"/>
          </w:tcPr>
          <w:p>
            <w:r>
              <w:rPr>
                <w:rFonts w:ascii="Calibri" w:hAnsi="Calibri"/>
                <w:sz w:val="22"/>
              </w:rPr>
              <w:t>+13.1%</w:t>
            </w:r>
          </w:p>
        </w:tc>
        <w:tc>
          <w:tcPr>
            <w:tcW w:type="dxa" w:w="1234"/>
          </w:tcPr>
          <w:p>
            <w:r>
              <w:rPr>
                <w:rFonts w:ascii="Calibri" w:hAnsi="Calibri"/>
                <w:sz w:val="22"/>
              </w:rPr>
              <w:t>N/A (FY: ~$45.17)</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$1.044B</w:t>
            </w:r>
          </w:p>
        </w:tc>
        <w:tc>
          <w:tcPr>
            <w:tcW w:type="dxa" w:w="1234"/>
          </w:tcPr>
          <w:p>
            <w:r>
              <w:rPr>
                <w:rFonts w:ascii="Calibri" w:hAnsi="Calibri"/>
                <w:sz w:val="22"/>
              </w:rPr>
              <w:t>$0.104B</w:t>
            </w:r>
          </w:p>
        </w:tc>
        <w:tc>
          <w:tcPr>
            <w:tcW w:type="dxa" w:w="1234"/>
          </w:tcPr>
          <w:p>
            <w:r>
              <w:rPr>
                <w:rFonts w:ascii="Calibri" w:hAnsi="Calibri"/>
                <w:sz w:val="22"/>
              </w:rPr>
              <w:t>$0.266B</w:t>
            </w:r>
          </w:p>
        </w:tc>
        <w:tc>
          <w:tcPr>
            <w:tcW w:type="dxa" w:w="1234"/>
          </w:tcPr>
          <w:p>
            <w:r>
              <w:rPr>
                <w:rFonts w:ascii="Calibri" w:hAnsi="Calibri"/>
                <w:sz w:val="22"/>
              </w:rPr>
              <w:t>N/M (seasonal)</w:t>
            </w:r>
          </w:p>
        </w:tc>
        <w:tc>
          <w:tcPr>
            <w:tcW w:type="dxa" w:w="1234"/>
          </w:tcPr>
          <w:p>
            <w:r>
              <w:rPr>
                <w:rFonts w:ascii="Calibri" w:hAnsi="Calibri"/>
                <w:sz w:val="22"/>
              </w:rPr>
              <w:t>$2.15B–$2.45B ($2.30B mid)</w:t>
            </w:r>
          </w:p>
        </w:tc>
        <w:tc>
          <w:tcPr>
            <w:tcW w:type="dxa" w:w="1234"/>
          </w:tcPr>
          <w:p>
            <w:r>
              <w:rPr>
                <w:rFonts w:ascii="Calibri" w:hAnsi="Calibri"/>
                <w:sz w:val="22"/>
              </w:rPr>
              <w:t>N/A (quarterly)</w:t>
            </w:r>
          </w:p>
        </w:tc>
      </w:tr>
    </w:tbl>
    <w:p>
      <w:r>
        <w:rPr>
          <w:rFonts w:ascii="Calibri" w:hAnsi="Calibri"/>
          <w:i/>
          <w:color w:val="525866"/>
          <w:sz w:val="22"/>
        </w:rPr>
        <w:t>Source: Visible Alpha consensus and actuals data. Q2 2026 consensus as of July 21, 2026. FY2026 guidance raised on Q1 2026 earnings call (April 22, 2026). Adj. EBITDA margin YoY comparison is vs. Q2 2025 reported; management's flat-margin goal is ex-H&amp;E benefit. Fleet productivity consensus ~2.0% is derived from VA data; management bogey is &gt;1.5% to outpace inflation.</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$3.773B</w:t>
            </w:r>
          </w:p>
        </w:tc>
        <w:tc>
          <w:tcPr>
            <w:tcW w:type="dxa" w:w="1728"/>
          </w:tcPr>
          <w:p>
            <w:r>
              <w:rPr>
                <w:rFonts w:ascii="Calibri" w:hAnsi="Calibri"/>
                <w:sz w:val="22"/>
              </w:rPr>
              <w:t>$3.785B</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$3.992B</w:t>
            </w:r>
          </w:p>
        </w:tc>
        <w:tc>
          <w:tcPr>
            <w:tcW w:type="dxa" w:w="1728"/>
          </w:tcPr>
          <w:p>
            <w:r>
              <w:rPr>
                <w:rFonts w:ascii="Calibri" w:hAnsi="Calibri"/>
                <w:sz w:val="22"/>
              </w:rPr>
              <w:t>$4.004B</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$4.095B</w:t>
            </w:r>
          </w:p>
        </w:tc>
        <w:tc>
          <w:tcPr>
            <w:tcW w:type="dxa" w:w="1728"/>
          </w:tcPr>
          <w:p>
            <w:r>
              <w:rPr>
                <w:rFonts w:ascii="Calibri" w:hAnsi="Calibri"/>
                <w:sz w:val="22"/>
              </w:rPr>
              <w:t>$3.941B</w:t>
            </w:r>
          </w:p>
        </w:tc>
        <w:tc>
          <w:tcPr>
            <w:tcW w:type="dxa" w:w="1728"/>
          </w:tcPr>
          <w:p>
            <w:r>
              <w:rPr>
                <w:rFonts w:ascii="Calibri" w:hAnsi="Calibri"/>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$3.719B</w:t>
            </w:r>
          </w:p>
        </w:tc>
        <w:tc>
          <w:tcPr>
            <w:tcW w:type="dxa" w:w="1728"/>
          </w:tcPr>
          <w:p>
            <w:r>
              <w:rPr>
                <w:rFonts w:ascii="Calibri" w:hAnsi="Calibri"/>
                <w:sz w:val="22"/>
              </w:rPr>
              <w:t>$3.627B</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$3.943B</w:t>
            </w:r>
          </w:p>
        </w:tc>
        <w:tc>
          <w:tcPr>
            <w:tcW w:type="dxa" w:w="1728"/>
          </w:tcPr>
          <w:p>
            <w:r>
              <w:rPr>
                <w:rFonts w:ascii="Calibri" w:hAnsi="Calibri"/>
                <w:sz w:val="22"/>
              </w:rPr>
              <w:t>$3.910B</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$4.229B</w:t>
            </w:r>
          </w:p>
        </w:tc>
        <w:tc>
          <w:tcPr>
            <w:tcW w:type="dxa" w:w="1728"/>
          </w:tcPr>
          <w:p>
            <w:r>
              <w:rPr>
                <w:rFonts w:ascii="Calibri" w:hAnsi="Calibri"/>
                <w:sz w:val="22"/>
              </w:rPr>
              <w:t>$4.162B</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$4.208B</w:t>
            </w:r>
          </w:p>
        </w:tc>
        <w:tc>
          <w:tcPr>
            <w:tcW w:type="dxa" w:w="1728"/>
          </w:tcPr>
          <w:p>
            <w:r>
              <w:rPr>
                <w:rFonts w:ascii="Calibri" w:hAnsi="Calibri"/>
                <w:sz w:val="22"/>
              </w:rPr>
              <w:t>$4.236B</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$3.985B</w:t>
            </w:r>
          </w:p>
        </w:tc>
        <w:tc>
          <w:tcPr>
            <w:tcW w:type="dxa" w:w="1728"/>
          </w:tcPr>
          <w:p>
            <w:r>
              <w:rPr>
                <w:rFonts w:ascii="Calibri" w:hAnsi="Calibri"/>
                <w:sz w:val="22"/>
              </w:rPr>
              <w:t>$3.891B</w:t>
            </w:r>
          </w:p>
        </w:tc>
        <w:tc>
          <w:tcPr>
            <w:tcW w:type="dxa" w:w="1728"/>
          </w:tcPr>
          <w:p>
            <w:r>
              <w:rPr>
                <w:rFonts w:ascii="Calibri" w:hAnsi="Calibri"/>
                <w:sz w:val="22"/>
              </w:rPr>
              <w:t>+2.4%</w:t>
            </w:r>
          </w:p>
        </w:tc>
        <w:tc>
          <w:tcPr>
            <w:tcW w:type="dxa" w:w="1728"/>
          </w:tcPr>
          <w:p>
            <w:r>
              <w:rPr>
                <w:rFonts w:ascii="Calibri" w:hAnsi="Calibri"/>
                <w:b/>
                <w:color w:val="30A46C"/>
                <w:sz w:val="22"/>
              </w:rPr>
              <w:t>Beat</w:t>
            </w:r>
          </w:p>
        </w:tc>
      </w:tr>
    </w:tbl>
    <w:p>
      <w:pPr>
        <w:pStyle w:val="Heading3"/>
      </w:pPr>
      <w:r>
        <w:rPr>
          <w:rFonts w:ascii="Calibri" w:hAnsi="Calibri"/>
          <w:b/>
          <w:color w:val="3B4259"/>
          <w:sz w:val="24"/>
        </w:rPr>
        <w:t>KPI 2: Adjusted EBITDA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$1.769B</w:t>
            </w:r>
          </w:p>
        </w:tc>
        <w:tc>
          <w:tcPr>
            <w:tcW w:type="dxa" w:w="1728"/>
          </w:tcPr>
          <w:p>
            <w:r>
              <w:rPr>
                <w:rFonts w:ascii="Calibri" w:hAnsi="Calibri"/>
                <w:sz w:val="22"/>
              </w:rPr>
              <w:t>$1.775B</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$1.904B</w:t>
            </w:r>
          </w:p>
        </w:tc>
        <w:tc>
          <w:tcPr>
            <w:tcW w:type="dxa" w:w="1728"/>
          </w:tcPr>
          <w:p>
            <w:r>
              <w:rPr>
                <w:rFonts w:ascii="Calibri" w:hAnsi="Calibri"/>
                <w:sz w:val="22"/>
              </w:rPr>
              <w:t>$1.942B</w:t>
            </w:r>
          </w:p>
        </w:tc>
        <w:tc>
          <w:tcPr>
            <w:tcW w:type="dxa" w:w="1728"/>
          </w:tcPr>
          <w:p>
            <w:r>
              <w:rPr>
                <w:rFonts w:ascii="Calibri" w:hAnsi="Calibri"/>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$1.900B</w:t>
            </w:r>
          </w:p>
        </w:tc>
        <w:tc>
          <w:tcPr>
            <w:tcW w:type="dxa" w:w="1728"/>
          </w:tcPr>
          <w:p>
            <w:r>
              <w:rPr>
                <w:rFonts w:ascii="Calibri" w:hAnsi="Calibri"/>
                <w:sz w:val="22"/>
              </w:rPr>
              <w:t>$1.893B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$1.671B</w:t>
            </w:r>
          </w:p>
        </w:tc>
        <w:tc>
          <w:tcPr>
            <w:tcW w:type="dxa" w:w="1728"/>
          </w:tcPr>
          <w:p>
            <w:r>
              <w:rPr>
                <w:rFonts w:ascii="Calibri" w:hAnsi="Calibri"/>
                <w:sz w:val="22"/>
              </w:rPr>
              <w:t>$1.638B</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$1.810B</w:t>
            </w:r>
          </w:p>
        </w:tc>
        <w:tc>
          <w:tcPr>
            <w:tcW w:type="dxa" w:w="1728"/>
          </w:tcPr>
          <w:p>
            <w:r>
              <w:rPr>
                <w:rFonts w:ascii="Calibri" w:hAnsi="Calibri"/>
                <w:sz w:val="22"/>
              </w:rPr>
              <w:t>$1.789B</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$1.946B</w:t>
            </w:r>
          </w:p>
        </w:tc>
        <w:tc>
          <w:tcPr>
            <w:tcW w:type="dxa" w:w="1728"/>
          </w:tcPr>
          <w:p>
            <w:r>
              <w:rPr>
                <w:rFonts w:ascii="Calibri" w:hAnsi="Calibri"/>
                <w:sz w:val="22"/>
              </w:rPr>
              <w:t>$1.962B</w:t>
            </w:r>
          </w:p>
        </w:tc>
        <w:tc>
          <w:tcPr>
            <w:tcW w:type="dxa" w:w="1728"/>
          </w:tcPr>
          <w:p>
            <w:r>
              <w:rPr>
                <w:rFonts w:ascii="Calibri" w:hAnsi="Calibri"/>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$1.901B</w:t>
            </w:r>
          </w:p>
        </w:tc>
        <w:tc>
          <w:tcPr>
            <w:tcW w:type="dxa" w:w="1728"/>
          </w:tcPr>
          <w:p>
            <w:r>
              <w:rPr>
                <w:rFonts w:ascii="Calibri" w:hAnsi="Calibri"/>
                <w:sz w:val="22"/>
              </w:rPr>
              <w:t>$1.944B</w:t>
            </w:r>
          </w:p>
        </w:tc>
        <w:tc>
          <w:tcPr>
            <w:tcW w:type="dxa" w:w="1728"/>
          </w:tcPr>
          <w:p>
            <w:r>
              <w:rPr>
                <w:rFonts w:ascii="Calibri" w:hAnsi="Calibri"/>
                <w:sz w:val="22"/>
              </w:rPr>
              <w:t>-2.2%</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$1.759B</w:t>
            </w:r>
          </w:p>
        </w:tc>
        <w:tc>
          <w:tcPr>
            <w:tcW w:type="dxa" w:w="1728"/>
          </w:tcPr>
          <w:p>
            <w:r>
              <w:rPr>
                <w:rFonts w:ascii="Calibri" w:hAnsi="Calibri"/>
                <w:sz w:val="22"/>
              </w:rPr>
              <w:t>$1.685B</w:t>
            </w:r>
          </w:p>
        </w:tc>
        <w:tc>
          <w:tcPr>
            <w:tcW w:type="dxa" w:w="1728"/>
          </w:tcPr>
          <w:p>
            <w:r>
              <w:rPr>
                <w:rFonts w:ascii="Calibri" w:hAnsi="Calibri"/>
                <w:sz w:val="22"/>
              </w:rPr>
              <w:t>+4.4%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URI has beaten revenue consensus in 5 of the last 8 quarters and EBITDA in 4 of 8, with the misses concentrated in Q2–Q3 2024 and Q3–Q4 2025 — periods of margin pressure and fleet productivity headwinds. The Q1 2026 beat was the largest in the trailing 8-quarter window on both metrics, resetting expectations higher.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revenue and EBITDA guidance on the Q1 2026 call and has not issued any subsequent formal revision; tone has remained confident, with no post-earnings 8-K or conference update changing the numbers.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Total Revenue</w:t>
            </w:r>
          </w:p>
        </w:tc>
        <w:tc>
          <w:tcPr>
            <w:tcW w:type="dxa" w:w="1728"/>
          </w:tcPr>
          <w:p>
            <w:r>
              <w:rPr>
                <w:rFonts w:ascii="Calibri" w:hAnsi="Calibri"/>
                <w:sz w:val="22"/>
              </w:rPr>
              <w:t>$16.8B–$17.3B</w:t>
            </w:r>
          </w:p>
        </w:tc>
        <w:tc>
          <w:tcPr>
            <w:tcW w:type="dxa" w:w="1728"/>
          </w:tcPr>
          <w:p>
            <w:r>
              <w:rPr>
                <w:rFonts w:ascii="Calibri" w:hAnsi="Calibri"/>
                <w:sz w:val="22"/>
              </w:rPr>
              <w:t>$16.9B–$17.4B</w:t>
            </w:r>
          </w:p>
        </w:tc>
        <w:tc>
          <w:tcPr>
            <w:tcW w:type="dxa" w:w="1728"/>
          </w:tcPr>
          <w:p>
            <w:r>
              <w:rPr>
                <w:rFonts w:ascii="Calibri" w:hAnsi="Calibri"/>
                <w:sz w:val="22"/>
              </w:rPr>
              <w:t>$17.24B</w:t>
            </w:r>
          </w:p>
        </w:tc>
        <w:tc>
          <w:tcPr>
            <w:tcW w:type="dxa" w:w="1728"/>
          </w:tcPr>
          <w:p>
            <w:r>
              <w:rPr>
                <w:rFonts w:ascii="Calibri" w:hAnsi="Calibri"/>
                <w:sz w:val="22"/>
              </w:rPr>
              <w:t>↑ Raised +$100M at Q1 2026 earnings (Apr 22); strong momentum into busy season</w:t>
            </w:r>
          </w:p>
        </w:tc>
      </w:tr>
      <w:tr>
        <w:tc>
          <w:tcPr>
            <w:tcW w:type="dxa" w:w="1728"/>
          </w:tcPr>
          <w:p>
            <w:r>
              <w:rPr>
                <w:rFonts w:ascii="Calibri" w:hAnsi="Calibri"/>
                <w:sz w:val="22"/>
              </w:rPr>
              <w:t>FY2026 Adj. EBITDA</w:t>
            </w:r>
          </w:p>
        </w:tc>
        <w:tc>
          <w:tcPr>
            <w:tcW w:type="dxa" w:w="1728"/>
          </w:tcPr>
          <w:p>
            <w:r>
              <w:rPr>
                <w:rFonts w:ascii="Calibri" w:hAnsi="Calibri"/>
                <w:sz w:val="22"/>
              </w:rPr>
              <w:t>$7.575B–$7.825B</w:t>
            </w:r>
          </w:p>
        </w:tc>
        <w:tc>
          <w:tcPr>
            <w:tcW w:type="dxa" w:w="1728"/>
          </w:tcPr>
          <w:p>
            <w:r>
              <w:rPr>
                <w:rFonts w:ascii="Calibri" w:hAnsi="Calibri"/>
                <w:sz w:val="22"/>
              </w:rPr>
              <w:t>$7.625B–$7.875B</w:t>
            </w:r>
          </w:p>
        </w:tc>
        <w:tc>
          <w:tcPr>
            <w:tcW w:type="dxa" w:w="1728"/>
          </w:tcPr>
          <w:p>
            <w:r>
              <w:rPr>
                <w:rFonts w:ascii="Calibri" w:hAnsi="Calibri"/>
                <w:sz w:val="22"/>
              </w:rPr>
              <w:t>$7.831B</w:t>
            </w:r>
          </w:p>
        </w:tc>
        <w:tc>
          <w:tcPr>
            <w:tcW w:type="dxa" w:w="1728"/>
          </w:tcPr>
          <w:p>
            <w:r>
              <w:rPr>
                <w:rFonts w:ascii="Calibri" w:hAnsi="Calibri"/>
                <w:sz w:val="22"/>
              </w:rPr>
              <w:t>↑ Raised +$50M at Q1 2026 earnings (Apr 22); broad-based cost leverage</w:t>
            </w:r>
          </w:p>
        </w:tc>
      </w:tr>
      <w:tr>
        <w:tc>
          <w:tcPr>
            <w:tcW w:type="dxa" w:w="1728"/>
          </w:tcPr>
          <w:p>
            <w:r>
              <w:rPr>
                <w:rFonts w:ascii="Calibri" w:hAnsi="Calibri"/>
                <w:sz w:val="22"/>
              </w:rPr>
              <w:t>FY2026 Adj. EBITDA Margin</w:t>
            </w:r>
          </w:p>
        </w:tc>
        <w:tc>
          <w:tcPr>
            <w:tcW w:type="dxa" w:w="1728"/>
          </w:tcPr>
          <w:p>
            <w:r>
              <w:rPr>
                <w:rFonts w:ascii="Calibri" w:hAnsi="Calibri"/>
                <w:sz w:val="22"/>
              </w:rPr>
              <w:t>Flat YoY (ex-H&amp;E)</w:t>
            </w:r>
          </w:p>
        </w:tc>
        <w:tc>
          <w:tcPr>
            <w:tcW w:type="dxa" w:w="1728"/>
          </w:tcPr>
          <w:p>
            <w:r>
              <w:rPr>
                <w:rFonts w:ascii="Calibri" w:hAnsi="Calibri"/>
                <w:sz w:val="22"/>
              </w:rPr>
              <w:t>—</w:t>
            </w:r>
          </w:p>
        </w:tc>
        <w:tc>
          <w:tcPr>
            <w:tcW w:type="dxa" w:w="1728"/>
          </w:tcPr>
          <w:p>
            <w:r>
              <w:rPr>
                <w:rFonts w:ascii="Calibri" w:hAnsi="Calibri"/>
                <w:sz w:val="22"/>
              </w:rPr>
              <w:t>~45.4%</w:t>
            </w:r>
          </w:p>
        </w:tc>
        <w:tc>
          <w:tcPr>
            <w:tcW w:type="dxa" w:w="1728"/>
          </w:tcPr>
          <w:p>
            <w:r>
              <w:rPr>
                <w:rFonts w:ascii="Calibri" w:hAnsi="Calibri"/>
                <w:sz w:val="22"/>
              </w:rPr>
              <w:t>Unchanged; delivery cost execution in Q2/Q3 is key risk to achieving flat margins</w:t>
            </w:r>
          </w:p>
        </w:tc>
      </w:tr>
      <w:tr>
        <w:tc>
          <w:tcPr>
            <w:tcW w:type="dxa" w:w="1728"/>
          </w:tcPr>
          <w:p>
            <w:r>
              <w:rPr>
                <w:rFonts w:ascii="Calibri" w:hAnsi="Calibri"/>
                <w:sz w:val="22"/>
              </w:rPr>
              <w:t>FY2026 Gross CapEx</w:t>
            </w:r>
          </w:p>
        </w:tc>
        <w:tc>
          <w:tcPr>
            <w:tcW w:type="dxa" w:w="1728"/>
          </w:tcPr>
          <w:p>
            <w:r>
              <w:rPr>
                <w:rFonts w:ascii="Calibri" w:hAnsi="Calibri"/>
                <w:sz w:val="22"/>
              </w:rPr>
              <w:t>$4.3B–$4.7B</w:t>
            </w:r>
          </w:p>
        </w:tc>
        <w:tc>
          <w:tcPr>
            <w:tcW w:type="dxa" w:w="1728"/>
          </w:tcPr>
          <w:p>
            <w:r>
              <w:rPr>
                <w:rFonts w:ascii="Calibri" w:hAnsi="Calibri"/>
                <w:sz w:val="22"/>
              </w:rPr>
              <w:t>$4.4B–$4.8B</w:t>
            </w:r>
          </w:p>
        </w:tc>
        <w:tc>
          <w:tcPr>
            <w:tcW w:type="dxa" w:w="1728"/>
          </w:tcPr>
          <w:p>
            <w:r>
              <w:rPr>
                <w:rFonts w:ascii="Calibri" w:hAnsi="Calibri"/>
                <w:sz w:val="22"/>
              </w:rPr>
              <w:t>N/A</w:t>
            </w:r>
          </w:p>
        </w:tc>
        <w:tc>
          <w:tcPr>
            <w:tcW w:type="dxa" w:w="1728"/>
          </w:tcPr>
          <w:p>
            <w:r>
              <w:rPr>
                <w:rFonts w:ascii="Calibri" w:hAnsi="Calibri"/>
                <w:sz w:val="22"/>
              </w:rPr>
              <w:t>↑ Raised +$100M at Q1 2026 earnings (Apr 22); reflects stronger demand</w:t>
            </w:r>
          </w:p>
        </w:tc>
      </w:tr>
      <w:tr>
        <w:tc>
          <w:tcPr>
            <w:tcW w:type="dxa" w:w="1728"/>
          </w:tcPr>
          <w:p>
            <w:r>
              <w:rPr>
                <w:rFonts w:ascii="Calibri" w:hAnsi="Calibri"/>
                <w:sz w:val="22"/>
              </w:rPr>
              <w:t>FY2026 Free Cash Flow</w:t>
            </w:r>
          </w:p>
        </w:tc>
        <w:tc>
          <w:tcPr>
            <w:tcW w:type="dxa" w:w="1728"/>
          </w:tcPr>
          <w:p>
            <w:r>
              <w:rPr>
                <w:rFonts w:ascii="Calibri" w:hAnsi="Calibri"/>
                <w:sz w:val="22"/>
              </w:rPr>
              <w:t>$2.15B–$2.45B</w:t>
            </w:r>
          </w:p>
        </w:tc>
        <w:tc>
          <w:tcPr>
            <w:tcW w:type="dxa" w:w="1728"/>
          </w:tcPr>
          <w:p>
            <w:r>
              <w:rPr>
                <w:rFonts w:ascii="Calibri" w:hAnsi="Calibri"/>
                <w:sz w:val="22"/>
              </w:rPr>
              <w:t>—</w:t>
            </w:r>
          </w:p>
        </w:tc>
        <w:tc>
          <w:tcPr>
            <w:tcW w:type="dxa" w:w="1728"/>
          </w:tcPr>
          <w:p>
            <w:r>
              <w:rPr>
                <w:rFonts w:ascii="Calibri" w:hAnsi="Calibri"/>
                <w:sz w:val="22"/>
              </w:rPr>
              <w:t>$2.287B</w:t>
            </w:r>
          </w:p>
        </w:tc>
        <w:tc>
          <w:tcPr>
            <w:tcW w:type="dxa" w:w="1728"/>
          </w:tcPr>
          <w:p>
            <w:r>
              <w:rPr>
                <w:rFonts w:ascii="Calibri" w:hAnsi="Calibri"/>
                <w:sz w:val="22"/>
              </w:rPr>
              <w:t>Unchanged; higher CapEx offset by higher operating cash flow</w:t>
            </w:r>
          </w:p>
        </w:tc>
      </w:tr>
      <w:tr>
        <w:tc>
          <w:tcPr>
            <w:tcW w:type="dxa" w:w="1728"/>
          </w:tcPr>
          <w:p>
            <w:r>
              <w:rPr>
                <w:rFonts w:ascii="Calibri" w:hAnsi="Calibri"/>
                <w:sz w:val="22"/>
              </w:rPr>
              <w:t>FY2026 Share Repurchases</w:t>
            </w:r>
          </w:p>
        </w:tc>
        <w:tc>
          <w:tcPr>
            <w:tcW w:type="dxa" w:w="1728"/>
          </w:tcPr>
          <w:p>
            <w:r>
              <w:rPr>
                <w:rFonts w:ascii="Calibri" w:hAnsi="Calibri"/>
                <w:sz w:val="22"/>
              </w:rPr>
              <w:t>$1.5B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~$2B total return to shareholders including dividends (~$32/share, ~4% yield)</w:t>
            </w:r>
          </w:p>
        </w:tc>
      </w:tr>
      <w:tr>
        <w:tc>
          <w:tcPr>
            <w:tcW w:type="dxa" w:w="1728"/>
          </w:tcPr>
          <w:p>
            <w:r>
              <w:rPr>
                <w:rFonts w:ascii="Calibri" w:hAnsi="Calibri"/>
                <w:sz w:val="22"/>
              </w:rPr>
              <w:t>Fleet Productivity</w:t>
            </w:r>
          </w:p>
        </w:tc>
        <w:tc>
          <w:tcPr>
            <w:tcW w:type="dxa" w:w="1728"/>
          </w:tcPr>
          <w:p>
            <w:r>
              <w:rPr>
                <w:rFonts w:ascii="Calibri" w:hAnsi="Calibri"/>
                <w:sz w:val="22"/>
              </w:rPr>
              <w:t>&gt;1.5% (inflation bogey)</w:t>
            </w:r>
          </w:p>
        </w:tc>
        <w:tc>
          <w:tcPr>
            <w:tcW w:type="dxa" w:w="1728"/>
          </w:tcPr>
          <w:p>
            <w:r>
              <w:rPr>
                <w:rFonts w:ascii="Calibri" w:hAnsi="Calibri"/>
                <w:sz w:val="22"/>
              </w:rPr>
              <w:t>—</w:t>
            </w:r>
          </w:p>
        </w:tc>
        <w:tc>
          <w:tcPr>
            <w:tcW w:type="dxa" w:w="1728"/>
          </w:tcPr>
          <w:p>
            <w:r>
              <w:rPr>
                <w:rFonts w:ascii="Calibri" w:hAnsi="Calibri"/>
                <w:sz w:val="22"/>
              </w:rPr>
              <w:t>~2.0% (Q2 cons.)</w:t>
            </w:r>
          </w:p>
        </w:tc>
        <w:tc>
          <w:tcPr>
            <w:tcW w:type="dxa" w:w="1728"/>
          </w:tcPr>
          <w:p>
            <w:r>
              <w:rPr>
                <w:rFonts w:ascii="Calibri" w:hAnsi="Calibri"/>
                <w:sz w:val="22"/>
              </w:rPr>
              <w:t>Unchanged; Q4 2025 mix anomaly confirmed one-time; matting project expected to contribute in Q2</w:t>
            </w:r>
          </w:p>
        </w:tc>
      </w:tr>
    </w:tbl>
    <w:p>
      <w:r>
        <w:rPr>
          <w:rFonts w:ascii="Calibri" w:hAnsi="Calibri"/>
          <w:i/>
          <w:color w:val="525866"/>
          <w:sz w:val="22"/>
        </w:rPr>
        <w:t>No post-earnings 8-K or conference update has changed guidance since the Q1 2026 earnings call. The June 18, 2026 8-K was a routine receivables purchase facility extension to 2027 — not a guidance revision. Management tone on the Q1 call was the most confident in several quarters, citing record results, strong customer sentiment, and a laser focus on delivery cost management through the busy season. The only formal post-earnings corporate event was the May 8, 2026 Annual Meeting, at which shareholders backed all board and management proposals. Source: URI Q1 2026 earnings call transcript (April 22, 2026); URI 8-K filings.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tracked guidance closely since the Q1 print, with modest upward drift on revenue and EBITDA — the gap between consensus and guidance midpoint is narrow, suggesting the street is not pricing in meaningful upside beyond the raised guide.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Mid</w:t>
            </w:r>
          </w:p>
        </w:tc>
      </w:tr>
      <w:tr>
        <w:tc>
          <w:tcPr>
            <w:tcW w:type="dxa" w:w="1080"/>
          </w:tcPr>
          <w:p>
            <w:r>
              <w:rPr>
                <w:rFonts w:ascii="Calibri" w:hAnsi="Calibri"/>
                <w:sz w:val="22"/>
              </w:rPr>
              <w:t>Revenue — Q2 2026</w:t>
            </w:r>
          </w:p>
        </w:tc>
        <w:tc>
          <w:tcPr>
            <w:tcW w:type="dxa" w:w="1080"/>
          </w:tcPr>
          <w:p>
            <w:r>
              <w:rPr>
                <w:rFonts w:ascii="Calibri" w:hAnsi="Calibri"/>
                <w:sz w:val="22"/>
              </w:rPr>
              <w:t>$4.204B</w:t>
            </w:r>
          </w:p>
        </w:tc>
        <w:tc>
          <w:tcPr>
            <w:tcW w:type="dxa" w:w="1080"/>
          </w:tcPr>
          <w:p>
            <w:r>
              <w:rPr>
                <w:rFonts w:ascii="Calibri" w:hAnsi="Calibri"/>
                <w:sz w:val="22"/>
              </w:rPr>
              <w:t>$4.204B</w:t>
            </w:r>
          </w:p>
        </w:tc>
        <w:tc>
          <w:tcPr>
            <w:tcW w:type="dxa" w:w="1080"/>
          </w:tcPr>
          <w:p>
            <w:r>
              <w:rPr>
                <w:rFonts w:ascii="Calibri" w:hAnsi="Calibri"/>
                <w:sz w:val="22"/>
              </w:rPr>
              <w:t>~0%</w:t>
            </w:r>
          </w:p>
        </w:tc>
        <w:tc>
          <w:tcPr>
            <w:tcW w:type="dxa" w:w="1080"/>
          </w:tcPr>
          <w:p>
            <w:r>
              <w:rPr>
                <w:rFonts w:ascii="Calibri" w:hAnsi="Calibri"/>
                <w:sz w:val="22"/>
              </w:rPr>
              <w:t>N/A (no Q-level guide)</w:t>
            </w:r>
          </w:p>
        </w:tc>
        <w:tc>
          <w:tcPr>
            <w:tcW w:type="dxa" w:w="1080"/>
          </w:tcPr>
          <w:p>
            <w:r>
              <w:rPr>
                <w:rFonts w:ascii="Calibri" w:hAnsi="Calibri"/>
                <w:sz w:val="22"/>
              </w:rPr>
              <w:t>N/A (no Q-level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$17.250B</w:t>
            </w:r>
          </w:p>
        </w:tc>
        <w:tc>
          <w:tcPr>
            <w:tcW w:type="dxa" w:w="1080"/>
          </w:tcPr>
          <w:p>
            <w:r>
              <w:rPr>
                <w:rFonts w:ascii="Calibri" w:hAnsi="Calibri"/>
                <w:sz w:val="22"/>
              </w:rPr>
              <w:t>$17.243B</w:t>
            </w:r>
          </w:p>
        </w:tc>
        <w:tc>
          <w:tcPr>
            <w:tcW w:type="dxa" w:w="1080"/>
          </w:tcPr>
          <w:p>
            <w:r>
              <w:rPr>
                <w:rFonts w:ascii="Calibri" w:hAnsi="Calibri"/>
                <w:sz w:val="22"/>
              </w:rPr>
              <w:t>-0.04%</w:t>
            </w:r>
          </w:p>
        </w:tc>
        <w:tc>
          <w:tcPr>
            <w:tcW w:type="dxa" w:w="1080"/>
          </w:tcPr>
          <w:p>
            <w:r>
              <w:rPr>
                <w:rFonts w:ascii="Calibri" w:hAnsi="Calibri"/>
                <w:sz w:val="22"/>
              </w:rPr>
              <w:t>$16.8B–$17.3B ($17.05B mid)</w:t>
            </w:r>
          </w:p>
        </w:tc>
        <w:tc>
          <w:tcPr>
            <w:tcW w:type="dxa" w:w="1080"/>
          </w:tcPr>
          <w:p>
            <w:r>
              <w:rPr>
                <w:rFonts w:ascii="Calibri" w:hAnsi="Calibri"/>
                <w:sz w:val="22"/>
              </w:rPr>
              <w:t>$16.9B–$17.4B ($17.15B mid)</w:t>
            </w:r>
          </w:p>
        </w:tc>
        <w:tc>
          <w:tcPr>
            <w:tcW w:type="dxa" w:w="1080"/>
          </w:tcPr>
          <w:p>
            <w:r>
              <w:rPr>
                <w:rFonts w:ascii="Calibri" w:hAnsi="Calibri"/>
                <w:sz w:val="22"/>
              </w:rPr>
              <w:t>+$100M (+0.6%)</w:t>
            </w:r>
          </w:p>
        </w:tc>
        <w:tc>
          <w:tcPr>
            <w:tcW w:type="dxa" w:w="1080"/>
          </w:tcPr>
          <w:p>
            <w:r>
              <w:rPr>
                <w:rFonts w:ascii="Calibri" w:hAnsi="Calibri"/>
                <w:sz w:val="22"/>
              </w:rPr>
              <w:t>+0.5% above mid</w:t>
            </w:r>
          </w:p>
        </w:tc>
      </w:tr>
      <w:tr>
        <w:tc>
          <w:tcPr>
            <w:tcW w:type="dxa" w:w="1080"/>
          </w:tcPr>
          <w:p>
            <w:r>
              <w:rPr>
                <w:rFonts w:ascii="Calibri" w:hAnsi="Calibri"/>
                <w:sz w:val="22"/>
              </w:rPr>
              <w:t>Adj. EBITDA — Q2 2026</w:t>
            </w:r>
          </w:p>
        </w:tc>
        <w:tc>
          <w:tcPr>
            <w:tcW w:type="dxa" w:w="1080"/>
          </w:tcPr>
          <w:p>
            <w:r>
              <w:rPr>
                <w:rFonts w:ascii="Calibri" w:hAnsi="Calibri"/>
                <w:sz w:val="22"/>
              </w:rPr>
              <w:t>$1.916B</w:t>
            </w:r>
          </w:p>
        </w:tc>
        <w:tc>
          <w:tcPr>
            <w:tcW w:type="dxa" w:w="1080"/>
          </w:tcPr>
          <w:p>
            <w:r>
              <w:rPr>
                <w:rFonts w:ascii="Calibri" w:hAnsi="Calibri"/>
                <w:sz w:val="22"/>
              </w:rPr>
              <w:t>$1.915B</w:t>
            </w:r>
          </w:p>
        </w:tc>
        <w:tc>
          <w:tcPr>
            <w:tcW w:type="dxa" w:w="1080"/>
          </w:tcPr>
          <w:p>
            <w:r>
              <w:rPr>
                <w:rFonts w:ascii="Calibri" w:hAnsi="Calibri"/>
                <w:sz w:val="22"/>
              </w:rPr>
              <w:t>-0.1%</w:t>
            </w:r>
          </w:p>
        </w:tc>
        <w:tc>
          <w:tcPr>
            <w:tcW w:type="dxa" w:w="1080"/>
          </w:tcPr>
          <w:p>
            <w:r>
              <w:rPr>
                <w:rFonts w:ascii="Calibri" w:hAnsi="Calibri"/>
                <w:sz w:val="22"/>
              </w:rPr>
              <w:t>N/A (no Q-level guide)</w:t>
            </w:r>
          </w:p>
        </w:tc>
        <w:tc>
          <w:tcPr>
            <w:tcW w:type="dxa" w:w="1080"/>
          </w:tcPr>
          <w:p>
            <w:r>
              <w:rPr>
                <w:rFonts w:ascii="Calibri" w:hAnsi="Calibri"/>
                <w:sz w:val="22"/>
              </w:rPr>
              <w:t>N/A (no Q-level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$7.831B</w:t>
            </w:r>
          </w:p>
        </w:tc>
        <w:tc>
          <w:tcPr>
            <w:tcW w:type="dxa" w:w="1080"/>
          </w:tcPr>
          <w:p>
            <w:r>
              <w:rPr>
                <w:rFonts w:ascii="Calibri" w:hAnsi="Calibri"/>
                <w:sz w:val="22"/>
              </w:rPr>
              <w:t>$7.831B</w:t>
            </w:r>
          </w:p>
        </w:tc>
        <w:tc>
          <w:tcPr>
            <w:tcW w:type="dxa" w:w="1080"/>
          </w:tcPr>
          <w:p>
            <w:r>
              <w:rPr>
                <w:rFonts w:ascii="Calibri" w:hAnsi="Calibri"/>
                <w:sz w:val="22"/>
              </w:rPr>
              <w:t>~0%</w:t>
            </w:r>
          </w:p>
        </w:tc>
        <w:tc>
          <w:tcPr>
            <w:tcW w:type="dxa" w:w="1080"/>
          </w:tcPr>
          <w:p>
            <w:r>
              <w:rPr>
                <w:rFonts w:ascii="Calibri" w:hAnsi="Calibri"/>
                <w:sz w:val="22"/>
              </w:rPr>
              <w:t>$7.575B–$7.825B ($7.70B mid)</w:t>
            </w:r>
          </w:p>
        </w:tc>
        <w:tc>
          <w:tcPr>
            <w:tcW w:type="dxa" w:w="1080"/>
          </w:tcPr>
          <w:p>
            <w:r>
              <w:rPr>
                <w:rFonts w:ascii="Calibri" w:hAnsi="Calibri"/>
                <w:sz w:val="22"/>
              </w:rPr>
              <w:t>$7.625B–$7.875B ($7.75B mid)</w:t>
            </w:r>
          </w:p>
        </w:tc>
        <w:tc>
          <w:tcPr>
            <w:tcW w:type="dxa" w:w="1080"/>
          </w:tcPr>
          <w:p>
            <w:r>
              <w:rPr>
                <w:rFonts w:ascii="Calibri" w:hAnsi="Calibri"/>
                <w:sz w:val="22"/>
              </w:rPr>
              <w:t>+$50M (+0.6%)</w:t>
            </w:r>
          </w:p>
        </w:tc>
        <w:tc>
          <w:tcPr>
            <w:tcW w:type="dxa" w:w="1080"/>
          </w:tcPr>
          <w:p>
            <w:r>
              <w:rPr>
                <w:rFonts w:ascii="Calibri" w:hAnsi="Calibri"/>
                <w:sz w:val="22"/>
              </w:rPr>
              <w:t>+1.0% above mid</w:t>
            </w:r>
          </w:p>
        </w:tc>
      </w:tr>
      <w:tr>
        <w:tc>
          <w:tcPr>
            <w:tcW w:type="dxa" w:w="1080"/>
          </w:tcPr>
          <w:p>
            <w:r>
              <w:rPr>
                <w:rFonts w:ascii="Calibri" w:hAnsi="Calibri"/>
                <w:sz w:val="22"/>
              </w:rPr>
              <w:t>Fleet Productivity — Q2 2026</w:t>
            </w:r>
          </w:p>
        </w:tc>
        <w:tc>
          <w:tcPr>
            <w:tcW w:type="dxa" w:w="1080"/>
          </w:tcPr>
          <w:p>
            <w:r>
              <w:rPr>
                <w:rFonts w:ascii="Calibri" w:hAnsi="Calibri"/>
                <w:sz w:val="22"/>
              </w:rPr>
              <w:t>~2.20%</w:t>
            </w:r>
          </w:p>
        </w:tc>
        <w:tc>
          <w:tcPr>
            <w:tcW w:type="dxa" w:w="1080"/>
          </w:tcPr>
          <w:p>
            <w:r>
              <w:rPr>
                <w:rFonts w:ascii="Calibri" w:hAnsi="Calibri"/>
                <w:sz w:val="22"/>
              </w:rPr>
              <w:t>~2.02%</w:t>
            </w:r>
          </w:p>
        </w:tc>
        <w:tc>
          <w:tcPr>
            <w:tcW w:type="dxa" w:w="1080"/>
          </w:tcPr>
          <w:p>
            <w:r>
              <w:rPr>
                <w:rFonts w:ascii="Calibri" w:hAnsi="Calibri"/>
                <w:sz w:val="22"/>
              </w:rPr>
              <w:t>-8%</w:t>
            </w:r>
          </w:p>
        </w:tc>
        <w:tc>
          <w:tcPr>
            <w:tcW w:type="dxa" w:w="1080"/>
          </w:tcPr>
          <w:p>
            <w:r>
              <w:rPr>
                <w:rFonts w:ascii="Calibri" w:hAnsi="Calibri"/>
                <w:sz w:val="22"/>
              </w:rPr>
              <w:t>&gt;1.5% bogey</w:t>
            </w:r>
          </w:p>
        </w:tc>
        <w:tc>
          <w:tcPr>
            <w:tcW w:type="dxa" w:w="1080"/>
          </w:tcPr>
          <w:p>
            <w:r>
              <w:rPr>
                <w:rFonts w:ascii="Calibri" w:hAnsi="Calibri"/>
                <w:sz w:val="22"/>
              </w:rPr>
              <w:t>&gt;1.5% bogey</w:t>
            </w:r>
          </w:p>
        </w:tc>
        <w:tc>
          <w:tcPr>
            <w:tcW w:type="dxa" w:w="1080"/>
          </w:tcPr>
          <w:p>
            <w:r>
              <w:rPr>
                <w:rFonts w:ascii="Calibri" w:hAnsi="Calibri"/>
                <w:sz w:val="22"/>
              </w:rPr>
              <w:t>Unchanged</w:t>
            </w:r>
          </w:p>
        </w:tc>
        <w:tc>
          <w:tcPr>
            <w:tcW w:type="dxa" w:w="1080"/>
          </w:tcPr>
          <w:p>
            <w:r>
              <w:rPr>
                <w:rFonts w:ascii="Calibri" w:hAnsi="Calibri"/>
                <w:sz w:val="22"/>
              </w:rPr>
              <w:t>+50 bps above bogey</w:t>
            </w:r>
          </w:p>
        </w:tc>
      </w:tr>
      <w:tr>
        <w:tc>
          <w:tcPr>
            <w:tcW w:type="dxa" w:w="1080"/>
          </w:tcPr>
          <w:p>
            <w:r>
              <w:rPr>
                <w:rFonts w:ascii="Calibri" w:hAnsi="Calibri"/>
                <w:sz w:val="22"/>
              </w:rPr>
              <w:t>Adj. EPS — Q2 2026</w:t>
            </w:r>
          </w:p>
        </w:tc>
        <w:tc>
          <w:tcPr>
            <w:tcW w:type="dxa" w:w="1080"/>
          </w:tcPr>
          <w:p>
            <w:r>
              <w:rPr>
                <w:rFonts w:ascii="Calibri" w:hAnsi="Calibri"/>
                <w:sz w:val="22"/>
              </w:rPr>
              <w:t>N/A (not in VA as-of)</w:t>
            </w:r>
          </w:p>
        </w:tc>
        <w:tc>
          <w:tcPr>
            <w:tcW w:type="dxa" w:w="1080"/>
          </w:tcPr>
          <w:p>
            <w:r>
              <w:rPr>
                <w:rFonts w:ascii="Calibri" w:hAnsi="Calibri"/>
                <w:sz w:val="22"/>
              </w:rPr>
              <w:t>$11.26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Estimates have been remarkably stable since the Q1 print — the street essentially locked in the raised guidance midpoint and has not moved materially in either direction. The slight downward drift in fleet productivity consensus (from ~2.20% to ~2.02%) reflects some caution around the seasonal delivery cost challenge, but both figures remain comfortably above the 1.5% inflation bogey. The narrow consensus-vs.-guidance gap on revenue and EBITDA means there is limited cushion if execution disappoints, but also limited risk of a guidance-driven negative surprise. Source: Visible Alpha consensus and actuals data; URI Q1 2026 earnings call transcript.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URI's +26% gain since Q1 earnings is almost entirely sentiment and multiple re-rating driven — the stock surged ~23% on the Q1 print day alone and has continued to grind higher on strong construction demand read-throughs, meaningfully outpacing XLI (+4.5%) and SPY (+5.2%) over the same period.</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URI vs. XLI (Industrials ETF) vs. S&amp;P 500 (SPY) — Indexed to 100 at Q1 2026 Earnings Date (Apr 22, 2026). Source: Stock Price Data.</w:t>
      </w:r>
    </w:p>
    <w:p>
      <w:r>
        <w:rPr>
          <w:rFonts w:ascii="Calibri" w:hAnsi="Calibri"/>
          <w:color w:val="525866"/>
          <w:sz w:val="22"/>
        </w:rPr>
        <w:t xml:space="preserve">URI closed at $802.79 on April 22 (earnings day) and surged to $986.78 on April 23 — a ~23% single-day gain — as the magnitude of the Q1 beat and the guidance raise caught the market off guard after a cautious setup post-Q4 2025. The stock continued to grind higher through June, reaching an intraday high above $1,139 on June 25 before pulling back modestly into the Q2 print. As of July 21, URI trades at $1,013.54, up ~26.3% from the Q1 earnings close vs. XLI +4.5% and SPY +5.2%. The outperformance is driven by: (1) the decisive Q1 beat and guidance raise resetting the narrative from margin-concern to execution-confidence; (2) strong peer read-throughs from construction-adjacent companies (EME, MTZ, PWR, WSC) confirming robust large-project demand; and (3) the receivables facility extension (June 18) signaling continued financial flexibility. The stock now trades at roughly 22–23x forward earnings, above its 10-year historical average of ~14x, meaning the bar for a positive reaction to Q2 is elevated. </w:t>
      </w:r>
      <w:r>
        <w:rPr>
          <w:rFonts w:ascii="Calibri" w:hAnsi="Calibri"/>
          <w:i/>
          <w:color w:val="525866"/>
          <w:sz w:val="22"/>
        </w:rPr>
        <w:t>Sector ETF used: XLI (Industrials Select Sector SPDR), which captures URI's industrial/construction sub-sector peers.</w:t>
      </w:r>
    </w:p>
    <w:p>
      <w:r>
        <w:br w:type="page"/>
      </w:r>
    </w:p>
    <w:p>
      <w:pPr>
        <w:pStyle w:val="Heading1"/>
        <w:pBdr>
          <w:bottom w:val="single" w:sz="4" w:space="1" w:color="FB9120"/>
        </w:pBdr>
      </w:pPr>
      <w:r>
        <w:rPr>
          <w:rFonts w:ascii="Calibri" w:hAnsi="Calibri"/>
          <w:b/>
          <w:color w:val="3B4259"/>
          <w:sz w:val="40"/>
        </w:rPr>
        <w:t>6. Peer Commentaries — Q2 2026 Read-Throughs</w:t>
      </w:r>
    </w:p>
    <w:p>
      <w:r>
        <w:rPr>
          <w:rFonts w:ascii="Calibri" w:hAnsi="Calibri"/>
          <w:b/>
          <w:color w:val="525866"/>
          <w:sz w:val="22"/>
        </w:rPr>
        <w:t xml:space="preserve">Key Takeaway: </w:t>
      </w:r>
      <w:r>
        <w:rPr>
          <w:rFonts w:ascii="Calibri" w:hAnsi="Calibri"/>
          <w:color w:val="525866"/>
          <w:sz w:val="22"/>
        </w:rPr>
        <w:t>Peer commentary since URI's Q1 earnings is uniformly bullish on large-project construction demand, data center activity, and infrastructure spending — all core URI end markets — with the only caution being local/small-project softness (WSC) and delivery/cost execution in peak season, which directly mirrors URI's own risk disclosure.</w:t>
      </w:r>
    </w:p>
    <w:p>
      <w:r>
        <w:rPr>
          <w:rFonts w:ascii="Calibri" w:hAnsi="Calibri"/>
          <w:color w:val="525866"/>
          <w:sz w:val="22"/>
        </w:rPr>
        <w:t xml:space="preserve">The following commentaries are sourced from peer earnings calls, investor days, and conferences occurring </w:t>
      </w:r>
      <w:r>
        <w:rPr>
          <w:rFonts w:ascii="Calibri" w:hAnsi="Calibri"/>
          <w:b/>
          <w:color w:val="525866"/>
          <w:sz w:val="22"/>
        </w:rPr>
        <w:t>after URI's Q1 2026 earnings (April 22, 2026)</w:t>
      </w:r>
      <w:r>
        <w:rPr>
          <w:rFonts w:ascii="Calibri" w:hAnsi="Calibri"/>
          <w:color w:val="525866"/>
          <w:sz w:val="22"/>
        </w:rPr>
        <w:t xml:space="preserve"> and are relevant to URI's Q2 2026 reporting period. Only commentary about current-quarter or forward-looking conditions is included; prior-quarter result discussions are excluded.</w:t>
      </w:r>
    </w:p>
    <w:p>
      <w:pPr>
        <w:pStyle w:val="Heading2"/>
      </w:pPr>
      <w:r>
        <w:rPr>
          <w:rFonts w:ascii="Calibri" w:hAnsi="Calibri"/>
          <w:b/>
          <w:color w:val="3B4259"/>
          <w:sz w:val="28"/>
        </w:rPr>
        <w:t>WillScot Holdings (WSC) — Q1 2026 Earnings Call (May 7, 2026)</w:t>
      </w:r>
    </w:p>
    <w:p>
      <w:r>
        <w:rPr>
          <w:rFonts w:ascii="Calibri" w:hAnsi="Calibri"/>
          <w:b/>
          <w:color w:val="525866"/>
          <w:sz w:val="22"/>
        </w:rPr>
        <w:t xml:space="preserve">Relevance: </w:t>
      </w:r>
      <w:r>
        <w:rPr>
          <w:rFonts w:ascii="Calibri" w:hAnsi="Calibri"/>
          <w:color w:val="525866"/>
          <w:sz w:val="22"/>
        </w:rPr>
        <w:t>WSC is a direct equipment/modular rental peer with overlapping end markets (construction, data centers, industrial). Its commentary on Q2 2026 demand and pricing is the most direct read-through for URI.</w:t>
      </w:r>
    </w:p>
    <w:p>
      <w:pPr>
        <w:pStyle w:val="ListBullet"/>
        <w:ind w:left="360" w:hanging="360"/>
      </w:pPr>
      <w:r>
        <w:rPr>
          <w:rFonts w:ascii="Calibri" w:hAnsi="Calibri"/>
          <w:b/>
          <w:color w:val="525866"/>
          <w:sz w:val="22"/>
        </w:rPr>
        <w:t>Large projects are a 'real bright spot':</w:t>
      </w:r>
      <w:r>
        <w:rPr>
          <w:rFonts w:ascii="Calibri" w:hAnsi="Calibri"/>
          <w:color w:val="525866"/>
          <w:sz w:val="22"/>
        </w:rPr>
        <w:t xml:space="preserve"> WSC described the mix of market activity as 'skewing towards larger, more complex projects,' with the large and mega project segments up ~30% YoY. Data center projects specifically were up 70% YoY within the large/mega segment, representing ~25% of projects tracked. This directly supports URI's large-project demand narrative heading into Q2.</w:t>
      </w:r>
    </w:p>
    <w:p>
      <w:pPr>
        <w:pStyle w:val="ListBullet"/>
        <w:ind w:left="360" w:hanging="360"/>
      </w:pPr>
      <w:r>
        <w:rPr>
          <w:rFonts w:ascii="Calibri" w:hAnsi="Calibri"/>
          <w:b/>
          <w:color w:val="525866"/>
          <w:sz w:val="22"/>
        </w:rPr>
        <w:t>Local market caution persists:</w:t>
      </w:r>
      <w:r>
        <w:rPr>
          <w:rFonts w:ascii="Calibri" w:hAnsi="Calibri"/>
          <w:color w:val="525866"/>
          <w:sz w:val="22"/>
        </w:rPr>
        <w:t xml:space="preserve"> WSC remained 'cautious around local market demand' and did not assume improvement in local market activity in its outlook. Nonresidential construction starts square footage saw a continued 6% YoY decline in Q1 2026. This is a mild negative read-through for URI's local/general rental segment, though URI has consistently characterized local markets as 'stable' rather than declining.</w:t>
      </w:r>
    </w:p>
    <w:p>
      <w:pPr>
        <w:pStyle w:val="ListBullet"/>
        <w:ind w:left="360" w:hanging="360"/>
      </w:pPr>
      <w:r>
        <w:rPr>
          <w:rFonts w:ascii="Calibri" w:hAnsi="Calibri"/>
          <w:b/>
          <w:color w:val="525866"/>
          <w:sz w:val="22"/>
        </w:rPr>
        <w:t>Modular activations inflecting:</w:t>
      </w:r>
      <w:r>
        <w:rPr>
          <w:rFonts w:ascii="Calibri" w:hAnsi="Calibri"/>
          <w:color w:val="525866"/>
          <w:sz w:val="22"/>
        </w:rPr>
        <w:t xml:space="preserve"> Total activations up 10% YoY in Q1; WSC raised conviction that leasing revenue will inflect to YoY growth 'at some point in the second half of 2026' — a pull-forward from prior 'early 2027' expectation. Pending orders for enterprise accounts up 25%+ YoY (ex-World Cup). Positive for URI's specialty and large-project pipeline.</w:t>
      </w:r>
    </w:p>
    <w:p>
      <w:pPr>
        <w:pStyle w:val="ListBullet"/>
        <w:ind w:left="360" w:hanging="360"/>
      </w:pPr>
      <w:r>
        <w:rPr>
          <w:rFonts w:ascii="Calibri" w:hAnsi="Calibri"/>
          <w:b/>
          <w:color w:val="525866"/>
          <w:sz w:val="22"/>
        </w:rPr>
        <w:t>Pricing mixed:</w:t>
      </w:r>
      <w:r>
        <w:rPr>
          <w:rFonts w:ascii="Calibri" w:hAnsi="Calibri"/>
          <w:color w:val="525866"/>
          <w:sz w:val="22"/>
        </w:rPr>
        <w:t xml:space="preserve"> Modular rates 'just under 3%' in Q1 may 'decelerate a little bit' in Q2 due to World Cup unit mix. Pressure on ground-level office product line 'stabilizing but still down significantly from peak.' Complex/FLEX equipment seeing 'pretty good price momentum.' Net neutral for URI's rate outlook.</w:t>
      </w:r>
    </w:p>
    <w:p>
      <w:pPr>
        <w:pStyle w:val="ListBullet"/>
        <w:ind w:left="360" w:hanging="360"/>
      </w:pPr>
      <w:r>
        <w:rPr>
          <w:rFonts w:ascii="Calibri" w:hAnsi="Calibri"/>
          <w:b/>
          <w:color w:val="525866"/>
          <w:sz w:val="22"/>
        </w:rPr>
        <w:t>Q2 2026 guidance:</w:t>
      </w:r>
      <w:r>
        <w:rPr>
          <w:rFonts w:ascii="Calibri" w:hAnsi="Calibri"/>
          <w:color w:val="525866"/>
          <w:sz w:val="22"/>
        </w:rPr>
        <w:t xml:space="preserve"> WSC guided Q2 revenue ~$585M (+7% sequentially) and adj. EBITDA ~$223M, with margins pressured ~30 bps sequentially from unit prep costs and World Cup delivery mix — but these impacts 'not expected to persist' into Q3/Q4. The delivery cost pressure is a direct read-through risk for URI's Q2 margin.</w:t>
      </w:r>
    </w:p>
    <w:p>
      <w:pPr>
        <w:pStyle w:val="Heading2"/>
      </w:pPr>
      <w:r>
        <w:rPr>
          <w:rFonts w:ascii="Calibri" w:hAnsi="Calibri"/>
          <w:b/>
          <w:color w:val="3B4259"/>
          <w:sz w:val="28"/>
        </w:rPr>
        <w:t>EMCOR Group (EME) — William Blair Growth Stock Conference (June 2, 2026)</w:t>
      </w:r>
    </w:p>
    <w:p>
      <w:r>
        <w:rPr>
          <w:rFonts w:ascii="Calibri" w:hAnsi="Calibri"/>
          <w:b/>
          <w:color w:val="525866"/>
          <w:sz w:val="22"/>
        </w:rPr>
        <w:t xml:space="preserve">Relevance: </w:t>
      </w:r>
      <w:r>
        <w:rPr>
          <w:rFonts w:ascii="Calibri" w:hAnsi="Calibri"/>
          <w:color w:val="525866"/>
          <w:sz w:val="22"/>
        </w:rPr>
        <w:t>EME is a leading nonresidential construction and mechanical/electrical contractor. Its commentary on construction demand, large project activity, and end-market strength is a high-quality read-through for URI's equipment rental demand.</w:t>
      </w:r>
    </w:p>
    <w:p>
      <w:pPr>
        <w:pStyle w:val="ListBullet"/>
        <w:ind w:left="360" w:hanging="360"/>
      </w:pPr>
      <w:r>
        <w:rPr>
          <w:rFonts w:ascii="Calibri" w:hAnsi="Calibri"/>
          <w:b/>
          <w:color w:val="525866"/>
          <w:sz w:val="22"/>
        </w:rPr>
        <w:t>Demand 'very broad-based' with record RPO growth:</w:t>
      </w:r>
      <w:r>
        <w:rPr>
          <w:rFonts w:ascii="Calibri" w:hAnsi="Calibri"/>
          <w:color w:val="525866"/>
          <w:sz w:val="22"/>
        </w:rPr>
        <w:t xml:space="preserve"> EME raised FY2026 revenue guidance to $18.5B–$19.25B (up from initial) and EPS to $28.25–$29.75, driven by stronger-than-expected revenue. Organic growth guidance of 9%–13% for 2026, described as 'very much volume driven.' Record Remaining Performance Obligations (RPO) growth signals a strong forward pipeline — directly positive for URI's large-project rental demand.</w:t>
      </w:r>
    </w:p>
    <w:p>
      <w:pPr>
        <w:pStyle w:val="ListBullet"/>
        <w:ind w:left="360" w:hanging="360"/>
      </w:pPr>
      <w:r>
        <w:rPr>
          <w:rFonts w:ascii="Calibri" w:hAnsi="Calibri"/>
          <w:b/>
          <w:color w:val="525866"/>
          <w:sz w:val="22"/>
        </w:rPr>
        <w:t>High-growth sectors accelerating:</w:t>
      </w:r>
      <w:r>
        <w:rPr>
          <w:rFonts w:ascii="Calibri" w:hAnsi="Calibri"/>
          <w:color w:val="525866"/>
          <w:sz w:val="22"/>
        </w:rPr>
        <w:t xml:space="preserve"> Data centers ('network and communications') and high-tech manufacturing (semiconductor, biotech, life sciences) identified as the primary high-growth sectors. EME has been a data center builder since the early 2000s and is seeing AI-driven demand shift toward GMP contracts. These are core URI end markets.</w:t>
      </w:r>
    </w:p>
    <w:p>
      <w:pPr>
        <w:pStyle w:val="ListBullet"/>
        <w:ind w:left="360" w:hanging="360"/>
      </w:pPr>
      <w:r>
        <w:rPr>
          <w:rFonts w:ascii="Calibri" w:hAnsi="Calibri"/>
          <w:b/>
          <w:color w:val="525866"/>
          <w:sz w:val="22"/>
        </w:rPr>
        <w:t>Project sizes getting bigger:</w:t>
      </w:r>
      <w:r>
        <w:rPr>
          <w:rFonts w:ascii="Calibri" w:hAnsi="Calibri"/>
          <w:color w:val="525866"/>
          <w:sz w:val="22"/>
        </w:rPr>
        <w:t xml:space="preserve"> 'Project size has gotten bigger' over the last six years, with EME emphasizing its track record of never failing to finish a large job. Larger projects require more equipment rental — a structural positive for URI's specialty and general rental segments.</w:t>
      </w:r>
    </w:p>
    <w:p>
      <w:pPr>
        <w:pStyle w:val="ListBullet"/>
        <w:ind w:left="360" w:hanging="360"/>
      </w:pPr>
      <w:r>
        <w:rPr>
          <w:rFonts w:ascii="Calibri" w:hAnsi="Calibri"/>
          <w:b/>
          <w:color w:val="525866"/>
          <w:sz w:val="22"/>
        </w:rPr>
        <w:t>Water/wastewater and healthcare growing:</w:t>
      </w:r>
      <w:r>
        <w:rPr>
          <w:rFonts w:ascii="Calibri" w:hAnsi="Calibri"/>
          <w:color w:val="525866"/>
          <w:sz w:val="22"/>
        </w:rPr>
        <w:t xml:space="preserve"> Water and wastewater 'starting to grow stronger than in the last several years.' Healthcare and institutional are 'core sectors.' Both are URI end markets where specialty rental (trench, power, pump) is particularly relevant.</w:t>
      </w:r>
    </w:p>
    <w:p>
      <w:pPr>
        <w:pStyle w:val="ListBullet"/>
        <w:ind w:left="360" w:hanging="360"/>
      </w:pPr>
      <w:r>
        <w:rPr>
          <w:rFonts w:ascii="Calibri" w:hAnsi="Calibri"/>
          <w:b/>
          <w:color w:val="525866"/>
          <w:sz w:val="22"/>
        </w:rPr>
        <w:t>Margin dollars over margin percentages:</w:t>
      </w:r>
      <w:r>
        <w:rPr>
          <w:rFonts w:ascii="Calibri" w:hAnsi="Calibri"/>
          <w:color w:val="525866"/>
          <w:sz w:val="22"/>
        </w:rPr>
        <w:t xml:space="preserve"> EME noted 'margin dollars are more important than margin percentages this year,' taking on more GMP work to expand into new markets. This suggests volume growth is prioritized over pricing discipline — broadly positive for equipment rental demand volumes.</w:t>
      </w:r>
    </w:p>
    <w:p>
      <w:pPr>
        <w:pStyle w:val="Heading2"/>
      </w:pPr>
      <w:r>
        <w:rPr>
          <w:rFonts w:ascii="Calibri" w:hAnsi="Calibri"/>
          <w:b/>
          <w:color w:val="3B4259"/>
          <w:sz w:val="28"/>
        </w:rPr>
        <w:t>MasTec (MTZ) — Q1 2026 Earnings Call (May 1, 2026) &amp; Investor Day (May 12, 2026)</w:t>
      </w:r>
    </w:p>
    <w:p>
      <w:r>
        <w:rPr>
          <w:rFonts w:ascii="Calibri" w:hAnsi="Calibri"/>
          <w:b/>
          <w:color w:val="525866"/>
          <w:sz w:val="22"/>
        </w:rPr>
        <w:t xml:space="preserve">Relevance: </w:t>
      </w:r>
      <w:r>
        <w:rPr>
          <w:rFonts w:ascii="Calibri" w:hAnsi="Calibri"/>
          <w:color w:val="525866"/>
          <w:sz w:val="22"/>
        </w:rPr>
        <w:t>MTZ is a major infrastructure and specialty contractor across power delivery, clean energy, communications, and pipeline. Its commentary on large project demand, power infrastructure, and data center construction is a strong read-through for URI's specialty rental segment.</w:t>
      </w:r>
    </w:p>
    <w:p>
      <w:pPr>
        <w:pStyle w:val="ListBullet"/>
        <w:ind w:left="360" w:hanging="360"/>
      </w:pPr>
      <w:r>
        <w:rPr>
          <w:rFonts w:ascii="Calibri" w:hAnsi="Calibri"/>
          <w:b/>
          <w:color w:val="525866"/>
          <w:sz w:val="22"/>
        </w:rPr>
        <w:t>Business momentum described as 'incredible':</w:t>
      </w:r>
      <w:r>
        <w:rPr>
          <w:rFonts w:ascii="Calibri" w:hAnsi="Calibri"/>
          <w:color w:val="525866"/>
          <w:sz w:val="22"/>
        </w:rPr>
        <w:t xml:space="preserve"> MTZ CEO stated 'from a total business perspective, it's just as good as I've ever seen. And quite frankly, I would only expect it to get better.' Full-year 2026 guidance raised to $17.5B revenue (+22% YoY) and $1.5B adj. EBITDA (+35% YoY). Q2 2026 revenue, EBITDA, and EPS expected to grow 21%, 38%, and 47% YoY respectively. This level of construction activity is a strong positive for URI's equipment rental demand.</w:t>
      </w:r>
    </w:p>
    <w:p>
      <w:pPr>
        <w:pStyle w:val="ListBullet"/>
        <w:ind w:left="360" w:hanging="360"/>
      </w:pPr>
      <w:r>
        <w:rPr>
          <w:rFonts w:ascii="Calibri" w:hAnsi="Calibri"/>
          <w:b/>
          <w:color w:val="525866"/>
          <w:sz w:val="22"/>
        </w:rPr>
        <w:t>Record backlog of $20.3B:</w:t>
      </w:r>
      <w:r>
        <w:rPr>
          <w:rFonts w:ascii="Calibri" w:hAnsi="Calibri"/>
          <w:color w:val="525866"/>
          <w:sz w:val="22"/>
        </w:rPr>
        <w:t xml:space="preserve"> Total backlog reached a new record of $20.3B at Q1 end, up $1.4B sequentially, with a 1.4x book-to-bill. Power Delivery backlog hit a new record of $6.2B (1.6x book-to-bill). Clean Energy &amp; Infrastructure backlog reached $7.3B (1.6x book-to-bill). This multi-year visibility directly supports sustained equipment rental demand for URI.</w:t>
      </w:r>
    </w:p>
    <w:p>
      <w:pPr>
        <w:pStyle w:val="ListBullet"/>
        <w:ind w:left="360" w:hanging="360"/>
      </w:pPr>
      <w:r>
        <w:rPr>
          <w:rFonts w:ascii="Calibri" w:hAnsi="Calibri"/>
          <w:b/>
          <w:color w:val="525866"/>
          <w:sz w:val="22"/>
        </w:rPr>
        <w:t>Power infrastructure is a 'multiyear investment cycle':</w:t>
      </w:r>
      <w:r>
        <w:rPr>
          <w:rFonts w:ascii="Calibri" w:hAnsi="Calibri"/>
          <w:color w:val="525866"/>
          <w:sz w:val="22"/>
        </w:rPr>
        <w:t xml:space="preserve"> Utilities 'spending heavily on transmission, system hardening, and reliability.' Power Delivery revenue grew from $600M in 2021 to 'nearly $5B' in 2026. MTZ expects 60–70 bps of margin expansion in Power Delivery in Q2. URI's specialty power segment is a direct beneficiary of this infrastructure buildout.</w:t>
      </w:r>
    </w:p>
    <w:p>
      <w:pPr>
        <w:pStyle w:val="ListBullet"/>
        <w:ind w:left="360" w:hanging="360"/>
      </w:pPr>
      <w:r>
        <w:rPr>
          <w:rFonts w:ascii="Calibri" w:hAnsi="Calibri"/>
          <w:b/>
          <w:color w:val="525866"/>
          <w:sz w:val="22"/>
        </w:rPr>
        <w:t>Data center demand 'massive' and accelerating:</w:t>
      </w:r>
      <w:r>
        <w:rPr>
          <w:rFonts w:ascii="Calibri" w:hAnsi="Calibri"/>
          <w:color w:val="525866"/>
          <w:sz w:val="22"/>
        </w:rPr>
        <w:t xml:space="preserve"> MTZ described data center opportunity as 'massive' and a 'really long cycle.' AI is driving data centers to 'very, very remote locations,' expanding the geographic footprint of construction activity. General Buildings group has '$5B+ of pipeline just in data centers, all repeat business.' URI's specialty rental (power, climate control) is well-positioned for this demand.</w:t>
      </w:r>
    </w:p>
    <w:p>
      <w:pPr>
        <w:pStyle w:val="ListBullet"/>
        <w:ind w:left="360" w:hanging="360"/>
      </w:pPr>
      <w:r>
        <w:rPr>
          <w:rFonts w:ascii="Calibri" w:hAnsi="Calibri"/>
          <w:b/>
          <w:color w:val="525866"/>
          <w:sz w:val="22"/>
        </w:rPr>
        <w:t>TAM of $685B in 2026, expanding to $1T+ by 2030:</w:t>
      </w:r>
      <w:r>
        <w:rPr>
          <w:rFonts w:ascii="Calibri" w:hAnsi="Calibri"/>
          <w:color w:val="525866"/>
          <w:sz w:val="22"/>
        </w:rPr>
        <w:t xml:space="preserve"> MTZ's Investor Day projected a $685B TAM in 2026 growing to over $1 trillion annually by 2030, with an accumulated $4.6T TAM through 2030. This multi-decade infrastructure cycle is the structural backdrop for URI's long-term growth thesis.</w:t>
      </w:r>
    </w:p>
    <w:p>
      <w:pPr>
        <w:pStyle w:val="Heading2"/>
      </w:pPr>
      <w:r>
        <w:rPr>
          <w:rFonts w:ascii="Calibri" w:hAnsi="Calibri"/>
          <w:b/>
          <w:color w:val="3B4259"/>
          <w:sz w:val="28"/>
        </w:rPr>
        <w:t>Quanta Services (PWR) — Bernstein Strategic Decisions Conference (May 28, 2026)</w:t>
      </w:r>
    </w:p>
    <w:p>
      <w:r>
        <w:rPr>
          <w:rFonts w:ascii="Calibri" w:hAnsi="Calibri"/>
          <w:b/>
          <w:color w:val="525866"/>
          <w:sz w:val="22"/>
        </w:rPr>
        <w:t xml:space="preserve">Relevance: </w:t>
      </w:r>
      <w:r>
        <w:rPr>
          <w:rFonts w:ascii="Calibri" w:hAnsi="Calibri"/>
          <w:color w:val="525866"/>
          <w:sz w:val="22"/>
        </w:rPr>
        <w:t>PWR is a leading specialty contractor in electric power, pipeline, and industrial infrastructure. Its commentary on transmission, data centers, and the broader infrastructure cycle is a read-through for URI's specialty rental demand.</w:t>
      </w:r>
    </w:p>
    <w:p>
      <w:pPr>
        <w:pStyle w:val="ListBullet"/>
        <w:ind w:left="360" w:hanging="360"/>
      </w:pPr>
      <w:r>
        <w:rPr>
          <w:rFonts w:ascii="Calibri" w:hAnsi="Calibri"/>
          <w:b/>
          <w:color w:val="525866"/>
          <w:sz w:val="22"/>
        </w:rPr>
        <w:t>'Once-in-a-generation opportunity' in infrastructure:</w:t>
      </w:r>
      <w:r>
        <w:rPr>
          <w:rFonts w:ascii="Calibri" w:hAnsi="Calibri"/>
          <w:color w:val="525866"/>
          <w:sz w:val="22"/>
        </w:rPr>
        <w:t xml:space="preserve"> PWR CEO described the current environment as a 'once-in-a-generation opportunity' with the question being 'more when, not if' for project acceleration. Multi-year utility CapEx budgets growing at 'plus 20%' recently vs. 8–9% CAGR just 1–2 years prior. This is a strong macro tailwind for URI's large-project rental demand.</w:t>
      </w:r>
    </w:p>
    <w:p>
      <w:pPr>
        <w:pStyle w:val="ListBullet"/>
        <w:ind w:left="360" w:hanging="360"/>
      </w:pPr>
      <w:r>
        <w:rPr>
          <w:rFonts w:ascii="Calibri" w:hAnsi="Calibri"/>
          <w:b/>
          <w:color w:val="525866"/>
          <w:sz w:val="22"/>
        </w:rPr>
        <w:t>Large transmission projects accelerating:</w:t>
      </w:r>
      <w:r>
        <w:rPr>
          <w:rFonts w:ascii="Calibri" w:hAnsi="Calibri"/>
          <w:color w:val="525866"/>
          <w:sz w:val="22"/>
        </w:rPr>
        <w:t xml:space="preserve"> Significant opportunity in 765 kV transmission lines, described as 'backbone infrastructure.' PWR expects to start booking large projects 'this year, early next year' with 5–7 year build timelines. Each large transmission line creates a '10x multiplier' in follow-on lower-voltage work. URI's specialty power rental is directly exposed to this buildout.</w:t>
      </w:r>
    </w:p>
    <w:p>
      <w:pPr>
        <w:pStyle w:val="ListBullet"/>
        <w:ind w:left="360" w:hanging="360"/>
      </w:pPr>
      <w:r>
        <w:rPr>
          <w:rFonts w:ascii="Calibri" w:hAnsi="Calibri"/>
          <w:b/>
          <w:color w:val="525866"/>
          <w:sz w:val="22"/>
        </w:rPr>
        <w:t>Data center demand 'every bit as robust as anything else':</w:t>
      </w:r>
      <w:r>
        <w:rPr>
          <w:rFonts w:ascii="Calibri" w:hAnsi="Calibri"/>
          <w:color w:val="525866"/>
          <w:sz w:val="22"/>
        </w:rPr>
        <w:t xml:space="preserve"> Gas-fired generation inbounds described as 'probably every bit as robust as data center or anything else at this point.' Renewables still growing 'double-digit.' PWR's addressable market for data centers estimated at 25–50% of the $13M/MW TAM. Sustained data center construction is a multi-year tailwind for URI's specialty rental.</w:t>
      </w:r>
    </w:p>
    <w:p>
      <w:pPr>
        <w:pStyle w:val="ListBullet"/>
        <w:ind w:left="360" w:hanging="360"/>
      </w:pPr>
      <w:r>
        <w:rPr>
          <w:rFonts w:ascii="Calibri" w:hAnsi="Calibri"/>
          <w:b/>
          <w:color w:val="525866"/>
          <w:sz w:val="22"/>
        </w:rPr>
        <w:t>Reindustrialization of North America as a theme:</w:t>
      </w:r>
      <w:r>
        <w:rPr>
          <w:rFonts w:ascii="Calibri" w:hAnsi="Calibri"/>
          <w:color w:val="525866"/>
          <w:sz w:val="22"/>
        </w:rPr>
        <w:t xml:space="preserve"> PWR highlighted 'reindustrialization of North America' with demand from industrials and pharmaceuticals across the country. PWR is doubling its fabrication capacity to meet customer demand. This industrial activity is a positive read-through for URI's general and specialty rental demand.</w:t>
      </w:r>
    </w:p>
    <w:p>
      <w:pPr>
        <w:pStyle w:val="Heading2"/>
      </w:pPr>
      <w:r>
        <w:rPr>
          <w:rFonts w:ascii="Calibri" w:hAnsi="Calibri"/>
          <w:b/>
          <w:color w:val="3B4259"/>
          <w:sz w:val="28"/>
        </w:rPr>
        <w:t>Fastenal (FAST) — Q2 2026 Earnings Call (July 14, 2026)</w:t>
      </w:r>
    </w:p>
    <w:p>
      <w:r>
        <w:rPr>
          <w:rFonts w:ascii="Calibri" w:hAnsi="Calibri"/>
          <w:b/>
          <w:color w:val="525866"/>
          <w:sz w:val="22"/>
        </w:rPr>
        <w:t xml:space="preserve">Relevance: </w:t>
      </w:r>
      <w:r>
        <w:rPr>
          <w:rFonts w:ascii="Calibri" w:hAnsi="Calibri"/>
          <w:color w:val="525866"/>
          <w:sz w:val="22"/>
        </w:rPr>
        <w:t>FAST is an industrial distributor with broad exposure to manufacturing and construction end markets. Its Q2 2026 results (reported July 14) are the most timely read-through available for URI's Q2 reporting period.</w:t>
      </w:r>
    </w:p>
    <w:p>
      <w:pPr>
        <w:pStyle w:val="ListBullet"/>
        <w:ind w:left="360" w:hanging="360"/>
      </w:pPr>
      <w:r>
        <w:rPr>
          <w:rFonts w:ascii="Calibri" w:hAnsi="Calibri"/>
          <w:b/>
          <w:color w:val="525866"/>
          <w:sz w:val="22"/>
        </w:rPr>
        <w:t>Industrial environment 'stable and modestly positive' in Q2:</w:t>
      </w:r>
      <w:r>
        <w:rPr>
          <w:rFonts w:ascii="Calibri" w:hAnsi="Calibri"/>
          <w:color w:val="525866"/>
          <w:sz w:val="22"/>
        </w:rPr>
        <w:t xml:space="preserve"> U.S. PMI averaged slightly above 53 in Q2 2026 (up from 52 in Q1), with industrial production slightly positive YoY in April and May. Six consecutive months of PMI above 50. Customer sentiment 'remained favorable throughout the quarter.' This is a constructive macro backdrop for URI's Q2 results.</w:t>
      </w:r>
    </w:p>
    <w:p>
      <w:pPr>
        <w:pStyle w:val="ListBullet"/>
        <w:ind w:left="360" w:hanging="360"/>
      </w:pPr>
      <w:r>
        <w:rPr>
          <w:rFonts w:ascii="Calibri" w:hAnsi="Calibri"/>
          <w:b/>
          <w:color w:val="525866"/>
          <w:sz w:val="22"/>
        </w:rPr>
        <w:t>Construction grew ~17% for the second consecutive quarter:</w:t>
      </w:r>
      <w:r>
        <w:rPr>
          <w:rFonts w:ascii="Calibri" w:hAnsi="Calibri"/>
          <w:color w:val="525866"/>
          <w:sz w:val="22"/>
        </w:rPr>
        <w:t xml:space="preserve"> FAST reported construction demand growing approximately 17% YoY for the second quarter in a row, 'representing a meaningful improvement from weaker trends in prior periods.' Electrical utility infrastructure and data center activity were 'among the strongest areas of demand.' This is a direct and highly positive read-through for URI's construction end market.</w:t>
      </w:r>
    </w:p>
    <w:p>
      <w:pPr>
        <w:pStyle w:val="ListBullet"/>
        <w:ind w:left="360" w:hanging="360"/>
      </w:pPr>
      <w:r>
        <w:rPr>
          <w:rFonts w:ascii="Calibri" w:hAnsi="Calibri"/>
          <w:b/>
          <w:color w:val="525866"/>
          <w:sz w:val="22"/>
        </w:rPr>
        <w:t>Heavy manufacturing up 18% YoY:</w:t>
      </w:r>
      <w:r>
        <w:rPr>
          <w:rFonts w:ascii="Calibri" w:hAnsi="Calibri"/>
          <w:color w:val="525866"/>
          <w:sz w:val="22"/>
        </w:rPr>
        <w:t xml:space="preserve"> Heavy manufacturing represented 44% of FAST's total sales with average daily sales growth of 18% — continuing an upward trend from the prior year. Strong manufacturing activity supports URI's industrial rental demand.</w:t>
      </w:r>
    </w:p>
    <w:p>
      <w:pPr>
        <w:pStyle w:val="ListBullet"/>
        <w:ind w:left="360" w:hanging="360"/>
      </w:pPr>
      <w:r>
        <w:rPr>
          <w:rFonts w:ascii="Calibri" w:hAnsi="Calibri"/>
          <w:b/>
          <w:color w:val="525866"/>
          <w:sz w:val="22"/>
        </w:rPr>
        <w:t>June 2026: 'Everything is double digit':</w:t>
      </w:r>
      <w:r>
        <w:rPr>
          <w:rFonts w:ascii="Calibri" w:hAnsi="Calibri"/>
          <w:color w:val="525866"/>
          <w:sz w:val="22"/>
        </w:rPr>
        <w:t xml:space="preserve"> FAST noted that in June 2026, all geographic and end market segments were experiencing double-digit growth — 'a situation not seen for quite some time.' This is the most current data point available for URI's Q2 end-market conditions and is strongly positive.</w:t>
      </w:r>
    </w:p>
    <w:p>
      <w:pPr>
        <w:pStyle w:val="ListBullet"/>
        <w:ind w:left="360" w:hanging="360"/>
      </w:pPr>
      <w:r>
        <w:rPr>
          <w:rFonts w:ascii="Calibri" w:hAnsi="Calibri"/>
          <w:b/>
          <w:color w:val="525866"/>
          <w:sz w:val="22"/>
        </w:rPr>
        <w:t>Tariff impact on demand was minimal:</w:t>
      </w:r>
      <w:r>
        <w:rPr>
          <w:rFonts w:ascii="Calibri" w:hAnsi="Calibri"/>
          <w:color w:val="525866"/>
          <w:sz w:val="22"/>
        </w:rPr>
        <w:t xml:space="preserve"> Trade and tariff uncertainty 'showed up through cost planning and pricing discussions rather than demand.' Overall demand conditions were 'stable to modestly positive.' This aligns with URI management's dismissive tone on tariff risk at the Q1 call.</w:t>
      </w:r>
    </w:p>
    <w:p>
      <w:r>
        <w:rPr>
          <w:rFonts w:ascii="Calibri" w:hAnsi="Calibri"/>
          <w:b/>
          <w:color w:val="525866"/>
          <w:sz w:val="22"/>
        </w:rPr>
        <w:t xml:space="preserve">Overall Read-Through Assessment: </w:t>
      </w:r>
      <w:r>
        <w:rPr>
          <w:rFonts w:ascii="Calibri" w:hAnsi="Calibri"/>
          <w:color w:val="525866"/>
          <w:sz w:val="22"/>
        </w:rPr>
        <w:t>The peer commentary picture is uniformly constructive for URI's Q2 2026 results. Large-project demand is accelerating across power, data centers, and infrastructure (MTZ, PWR, EME); construction end markets are growing double-digits (FAST); and the only caution — local market softness (WSC) — is already embedded in URI's guidance. The primary risk flagged by peers (delivery cost pressure in peak season, WSC) directly mirrors URI's own disclosed execution risk for Q2/Q3.</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continued strength of large-project construction demand confirmed by multiple peers — combined with the receivables facility extension signaling financial flexibility — both of which are incrementally positive for the Q2 print.</w:t>
      </w:r>
    </w:p>
    <w:p>
      <w:pPr>
        <w:pStyle w:val="ListBullet"/>
        <w:ind w:left="360" w:hanging="360"/>
      </w:pPr>
      <w:r>
        <w:rPr>
          <w:rFonts w:ascii="Calibri" w:hAnsi="Calibri"/>
          <w:b/>
          <w:color w:val="525866"/>
          <w:sz w:val="22"/>
        </w:rPr>
        <w:t>April 22, 2026 — Q1 2026 Earnings Beat &amp; Guidance Raise (8-K / Press Release):</w:t>
      </w:r>
      <w:r>
        <w:rPr>
          <w:rFonts w:ascii="Calibri" w:hAnsi="Calibri"/>
          <w:color w:val="525866"/>
          <w:sz w:val="22"/>
        </w:rPr>
        <w:t xml:space="preserve"> URI reported record Q1 results across revenue ($3.985B, +7% YoY), adj. EBITDA ($1.759B, +5.3% YoY), and EPS. Full-year 2026 guidance raised: revenue to $16.9B–$17.4B (+$100M) and adj. EBITDA to $7.625B–$7.875B (+$50M). Stock surged ~23% on April 23. </w:t>
      </w:r>
      <w:r>
        <w:rPr>
          <w:rFonts w:ascii="Calibri" w:hAnsi="Calibri"/>
          <w:b/>
          <w:color w:val="525866"/>
          <w:sz w:val="22"/>
        </w:rPr>
        <w:t xml:space="preserve">Implication: </w:t>
      </w:r>
      <w:r>
        <w:rPr>
          <w:rFonts w:ascii="Calibri" w:hAnsi="Calibri"/>
          <w:color w:val="525866"/>
          <w:sz w:val="22"/>
        </w:rPr>
        <w:t>Sets a higher bar for Q2 but confirms the business is executing well into the busy season.</w:t>
      </w:r>
    </w:p>
    <w:p>
      <w:pPr>
        <w:pStyle w:val="ListBullet"/>
        <w:ind w:left="360" w:hanging="360"/>
      </w:pPr>
      <w:r>
        <w:rPr>
          <w:rFonts w:ascii="Calibri" w:hAnsi="Calibri"/>
          <w:b/>
          <w:color w:val="525866"/>
          <w:sz w:val="22"/>
        </w:rPr>
        <w:t>May 8, 2026 — Annual Meeting: Shareholders Back All Board &amp; Management Proposals (8-K):</w:t>
      </w:r>
      <w:r>
        <w:rPr>
          <w:rFonts w:ascii="Calibri" w:hAnsi="Calibri"/>
          <w:color w:val="525866"/>
          <w:sz w:val="22"/>
        </w:rPr>
        <w:t xml:space="preserve"> All director nominees elected and all management proposals approved without controversy. </w:t>
      </w:r>
      <w:r>
        <w:rPr>
          <w:rFonts w:ascii="Calibri" w:hAnsi="Calibri"/>
          <w:b/>
          <w:color w:val="525866"/>
          <w:sz w:val="22"/>
        </w:rPr>
        <w:t xml:space="preserve">Implication: </w:t>
      </w:r>
      <w:r>
        <w:rPr>
          <w:rFonts w:ascii="Calibri" w:hAnsi="Calibri"/>
          <w:color w:val="525866"/>
          <w:sz w:val="22"/>
        </w:rPr>
        <w:t>No governance overhang heading into Q2 earnings.</w:t>
      </w:r>
    </w:p>
    <w:p>
      <w:pPr>
        <w:pStyle w:val="ListBullet"/>
        <w:ind w:left="360" w:hanging="360"/>
      </w:pPr>
      <w:r>
        <w:rPr>
          <w:rFonts w:ascii="Calibri" w:hAnsi="Calibri"/>
          <w:b/>
          <w:color w:val="525866"/>
          <w:sz w:val="22"/>
        </w:rPr>
        <w:t>May 28, 2026 — Quanta Services (PWR) Bernstein Conference:</w:t>
      </w:r>
      <w:r>
        <w:rPr>
          <w:rFonts w:ascii="Calibri" w:hAnsi="Calibri"/>
          <w:color w:val="525866"/>
          <w:sz w:val="22"/>
        </w:rPr>
        <w:t xml:space="preserve"> PWR CEO described a 'once-in-a-generation opportunity' in infrastructure with utility CapEx budgets growing at 20%+. Large transmission projects expected to start booking 'this year, early next year.' </w:t>
      </w:r>
      <w:r>
        <w:rPr>
          <w:rFonts w:ascii="Calibri" w:hAnsi="Calibri"/>
          <w:b/>
          <w:color w:val="525866"/>
          <w:sz w:val="22"/>
        </w:rPr>
        <w:t xml:space="preserve">Implication: </w:t>
      </w:r>
      <w:r>
        <w:rPr>
          <w:rFonts w:ascii="Calibri" w:hAnsi="Calibri"/>
          <w:color w:val="525866"/>
          <w:sz w:val="22"/>
        </w:rPr>
        <w:t>Confirms multi-year tailwind for URI's specialty power rental segment.</w:t>
      </w:r>
    </w:p>
    <w:p>
      <w:pPr>
        <w:pStyle w:val="ListBullet"/>
        <w:ind w:left="360" w:hanging="360"/>
      </w:pPr>
      <w:r>
        <w:rPr>
          <w:rFonts w:ascii="Calibri" w:hAnsi="Calibri"/>
          <w:b/>
          <w:color w:val="525866"/>
          <w:sz w:val="22"/>
        </w:rPr>
        <w:t>June 2, 2026 — EMCOR (EME) William Blair Conference:</w:t>
      </w:r>
      <w:r>
        <w:rPr>
          <w:rFonts w:ascii="Calibri" w:hAnsi="Calibri"/>
          <w:color w:val="525866"/>
          <w:sz w:val="22"/>
        </w:rPr>
        <w:t xml:space="preserve"> EME raised FY2026 revenue guidance to $18.5B–$19.25B and reported record RPO growth, with organic growth of 9–13% driven by volume. Data centers, semiconductor, and healthcare identified as high-growth sectors. </w:t>
      </w:r>
      <w:r>
        <w:rPr>
          <w:rFonts w:ascii="Calibri" w:hAnsi="Calibri"/>
          <w:b/>
          <w:color w:val="525866"/>
          <w:sz w:val="22"/>
        </w:rPr>
        <w:t xml:space="preserve">Implication: </w:t>
      </w:r>
      <w:r>
        <w:rPr>
          <w:rFonts w:ascii="Calibri" w:hAnsi="Calibri"/>
          <w:color w:val="525866"/>
          <w:sz w:val="22"/>
        </w:rPr>
        <w:t>Broad-based nonresidential construction demand is accelerating, directly supporting URI's equipment rental volumes.</w:t>
      </w:r>
    </w:p>
    <w:p>
      <w:pPr>
        <w:pStyle w:val="ListBullet"/>
        <w:ind w:left="360" w:hanging="360"/>
      </w:pPr>
      <w:r>
        <w:rPr>
          <w:rFonts w:ascii="Calibri" w:hAnsi="Calibri"/>
          <w:b/>
          <w:color w:val="525866"/>
          <w:sz w:val="22"/>
        </w:rPr>
        <w:t>June 18, 2026 — URI Extends Receivables Purchase Facility to 2027 (8-K):</w:t>
      </w:r>
      <w:r>
        <w:rPr>
          <w:rFonts w:ascii="Calibri" w:hAnsi="Calibri"/>
          <w:color w:val="525866"/>
          <w:sz w:val="22"/>
        </w:rPr>
        <w:t xml:space="preserve"> URI extended its receivables purchase facility, providing continued liquidity flexibility. Routine financial maintenance transaction. </w:t>
      </w:r>
      <w:r>
        <w:rPr>
          <w:rFonts w:ascii="Calibri" w:hAnsi="Calibri"/>
          <w:b/>
          <w:color w:val="525866"/>
          <w:sz w:val="22"/>
        </w:rPr>
        <w:t xml:space="preserve">Implication: </w:t>
      </w:r>
      <w:r>
        <w:rPr>
          <w:rFonts w:ascii="Calibri" w:hAnsi="Calibri"/>
          <w:color w:val="525866"/>
          <w:sz w:val="22"/>
        </w:rPr>
        <w:t>No change to financial outlook; confirms balance sheet management discipline ahead of peak CapEx deployment.</w:t>
      </w:r>
    </w:p>
    <w:p>
      <w:pPr>
        <w:pStyle w:val="ListBullet"/>
        <w:ind w:left="360" w:hanging="360"/>
      </w:pPr>
      <w:r>
        <w:rPr>
          <w:rFonts w:ascii="Calibri" w:hAnsi="Calibri"/>
          <w:b/>
          <w:color w:val="525866"/>
          <w:sz w:val="22"/>
        </w:rPr>
        <w:t>June 25, 2026 — URI Stock Hits Intraday High Above $1,139:</w:t>
      </w:r>
      <w:r>
        <w:rPr>
          <w:rFonts w:ascii="Calibri" w:hAnsi="Calibri"/>
          <w:color w:val="525866"/>
          <w:sz w:val="22"/>
        </w:rPr>
        <w:t xml:space="preserve"> URI reached its highest price since the Q1 earnings surge, driven by continued construction demand read-throughs and sector momentum. </w:t>
      </w:r>
      <w:r>
        <w:rPr>
          <w:rFonts w:ascii="Calibri" w:hAnsi="Calibri"/>
          <w:b/>
          <w:color w:val="525866"/>
          <w:sz w:val="22"/>
        </w:rPr>
        <w:t xml:space="preserve">Implication: </w:t>
      </w:r>
      <w:r>
        <w:rPr>
          <w:rFonts w:ascii="Calibri" w:hAnsi="Calibri"/>
          <w:color w:val="525866"/>
          <w:sz w:val="22"/>
        </w:rPr>
        <w:t>Stock has priced in significant good news; the bar for a positive Q2 reaction is elevated.</w:t>
      </w:r>
    </w:p>
    <w:p>
      <w:pPr>
        <w:pStyle w:val="ListBullet"/>
        <w:ind w:left="360" w:hanging="360"/>
      </w:pPr>
      <w:r>
        <w:rPr>
          <w:rFonts w:ascii="Calibri" w:hAnsi="Calibri"/>
          <w:b/>
          <w:color w:val="525866"/>
          <w:sz w:val="22"/>
        </w:rPr>
        <w:t>July 9, 2026 — URI Announces Q2 2026 Conference Call (Press Release):</w:t>
      </w:r>
      <w:r>
        <w:rPr>
          <w:rFonts w:ascii="Calibri" w:hAnsi="Calibri"/>
          <w:color w:val="525866"/>
          <w:sz w:val="22"/>
        </w:rPr>
        <w:t xml:space="preserve"> URI confirmed Q2 2026 results will be released July 22 after market close, with conference call July 23 at 8:30 AM ET. </w:t>
      </w:r>
      <w:r>
        <w:rPr>
          <w:rFonts w:ascii="Calibri" w:hAnsi="Calibri"/>
          <w:b/>
          <w:color w:val="525866"/>
          <w:sz w:val="22"/>
        </w:rPr>
        <w:t xml:space="preserve">Implication: </w:t>
      </w:r>
      <w:r>
        <w:rPr>
          <w:rFonts w:ascii="Calibri" w:hAnsi="Calibri"/>
          <w:color w:val="525866"/>
          <w:sz w:val="22"/>
        </w:rPr>
        <w:t>No pre-announcement or guidance update — management is comfortable with the current guidance range.</w:t>
      </w:r>
    </w:p>
    <w:p>
      <w:pPr>
        <w:pStyle w:val="ListBullet"/>
        <w:ind w:left="360" w:hanging="360"/>
      </w:pPr>
      <w:r>
        <w:rPr>
          <w:rFonts w:ascii="Calibri" w:hAnsi="Calibri"/>
          <w:b/>
          <w:color w:val="525866"/>
          <w:sz w:val="22"/>
        </w:rPr>
        <w:t>July 14, 2026 — Fastenal (FAST) Q2 2026 Earnings:</w:t>
      </w:r>
      <w:r>
        <w:rPr>
          <w:rFonts w:ascii="Calibri" w:hAnsi="Calibri"/>
          <w:color w:val="525866"/>
          <w:sz w:val="22"/>
        </w:rPr>
        <w:t xml:space="preserve"> FAST reported construction demand up ~17% YoY for the second consecutive quarter, with June 2026 showing 'everything is double digit' across all geographies and end markets. PMI averaged above 53 in Q2. </w:t>
      </w:r>
      <w:r>
        <w:rPr>
          <w:rFonts w:ascii="Calibri" w:hAnsi="Calibri"/>
          <w:b/>
          <w:color w:val="525866"/>
          <w:sz w:val="22"/>
        </w:rPr>
        <w:t xml:space="preserve">Implication: </w:t>
      </w:r>
      <w:r>
        <w:rPr>
          <w:rFonts w:ascii="Calibri" w:hAnsi="Calibri"/>
          <w:color w:val="525866"/>
          <w:sz w:val="22"/>
        </w:rPr>
        <w:t>Most timely and direct read-through for URI's Q2 end-market conditions — strongly positive.</w:t>
      </w:r>
    </w:p>
    <w:p>
      <w:pPr>
        <w:pStyle w:val="ListBullet"/>
        <w:ind w:left="360" w:hanging="360"/>
      </w:pPr>
      <w:r>
        <w:rPr>
          <w:rFonts w:ascii="Calibri" w:hAnsi="Calibri"/>
          <w:b/>
          <w:color w:val="525866"/>
          <w:sz w:val="22"/>
        </w:rPr>
        <w:t>July 18, 2026 — Morgan Stanley Issues Positive Forecast for URI:</w:t>
      </w:r>
      <w:r>
        <w:rPr>
          <w:rFonts w:ascii="Calibri" w:hAnsi="Calibri"/>
          <w:color w:val="525866"/>
          <w:sz w:val="22"/>
        </w:rPr>
        <w:t xml:space="preserve"> Morgan Stanley issued a positive forecast for URI stock ahead of Q2 earnings, citing upgraded 2026 guidance tied to project demand. Analyst coverage skews positive (13 Buys, 3 Holds, 1 Sell per MarketBeat). </w:t>
      </w:r>
      <w:r>
        <w:rPr>
          <w:rFonts w:ascii="Calibri" w:hAnsi="Calibri"/>
          <w:b/>
          <w:color w:val="525866"/>
          <w:sz w:val="22"/>
        </w:rPr>
        <w:t xml:space="preserve">Implication: </w:t>
      </w:r>
      <w:r>
        <w:rPr>
          <w:rFonts w:ascii="Calibri" w:hAnsi="Calibri"/>
          <w:color w:val="525866"/>
          <w:sz w:val="22"/>
        </w:rPr>
        <w:t>Sell-side sentiment is constructive; consensus price target ~$986–$1,150 range.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The only open-market sales since Q1 earnings were by the CEO and two other executives immediately following the Q1 print — likely post-blackout window sales — with no discretionary buys or unusual clustered selling since; director equity awards are routine compensation, not a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Flannery, Matthew John</w:t>
            </w:r>
          </w:p>
        </w:tc>
        <w:tc>
          <w:tcPr>
            <w:tcW w:type="dxa" w:w="1440"/>
          </w:tcPr>
          <w:p>
            <w:r>
              <w:rPr>
                <w:rFonts w:ascii="Calibri" w:hAnsi="Calibri"/>
                <w:sz w:val="22"/>
              </w:rPr>
              <w:t>President &amp; CEO, Director</w:t>
            </w:r>
          </w:p>
        </w:tc>
        <w:tc>
          <w:tcPr>
            <w:tcW w:type="dxa" w:w="1440"/>
          </w:tcPr>
          <w:p>
            <w:r>
              <w:rPr>
                <w:rFonts w:ascii="Calibri" w:hAnsi="Calibri"/>
                <w:sz w:val="22"/>
              </w:rPr>
              <w:t>Open Market Sale</w:t>
            </w:r>
          </w:p>
        </w:tc>
        <w:tc>
          <w:tcPr>
            <w:tcW w:type="dxa" w:w="1440"/>
          </w:tcPr>
          <w:p>
            <w:r>
              <w:rPr>
                <w:rFonts w:ascii="Calibri" w:hAnsi="Calibri"/>
                <w:sz w:val="22"/>
              </w:rPr>
              <w:t>22,768 shares</w:t>
            </w:r>
          </w:p>
        </w:tc>
        <w:tc>
          <w:tcPr>
            <w:tcW w:type="dxa" w:w="1440"/>
          </w:tcPr>
          <w:p>
            <w:r>
              <w:rPr>
                <w:rFonts w:ascii="Calibri" w:hAnsi="Calibri"/>
                <w:sz w:val="22"/>
              </w:rPr>
              <w:t>Apr 24, 2026</w:t>
            </w:r>
          </w:p>
        </w:tc>
        <w:tc>
          <w:tcPr>
            <w:tcW w:type="dxa" w:w="1440"/>
          </w:tcPr>
          <w:p>
            <w:r>
              <w:rPr>
                <w:rFonts w:ascii="Calibri" w:hAnsi="Calibri"/>
                <w:sz w:val="22"/>
              </w:rPr>
              <w:t>Post-blackout window sale; 2 days after Q1 earnings; discretionary (no 10b5-1 flag in data)</w:t>
            </w:r>
          </w:p>
        </w:tc>
      </w:tr>
      <w:tr>
        <w:tc>
          <w:tcPr>
            <w:tcW w:type="dxa" w:w="1440"/>
          </w:tcPr>
          <w:p>
            <w:r>
              <w:rPr>
                <w:rFonts w:ascii="Calibri" w:hAnsi="Calibri"/>
                <w:sz w:val="22"/>
              </w:rPr>
              <w:t>Pintoff, Craig Adam</w:t>
            </w:r>
          </w:p>
        </w:tc>
        <w:tc>
          <w:tcPr>
            <w:tcW w:type="dxa" w:w="1440"/>
          </w:tcPr>
          <w:p>
            <w:r>
              <w:rPr>
                <w:rFonts w:ascii="Calibri" w:hAnsi="Calibri"/>
                <w:sz w:val="22"/>
              </w:rPr>
              <w:t>EVP, Chief Admin. Officer</w:t>
            </w:r>
          </w:p>
        </w:tc>
        <w:tc>
          <w:tcPr>
            <w:tcW w:type="dxa" w:w="1440"/>
          </w:tcPr>
          <w:p>
            <w:r>
              <w:rPr>
                <w:rFonts w:ascii="Calibri" w:hAnsi="Calibri"/>
                <w:sz w:val="22"/>
              </w:rPr>
              <w:t>Open Market Sale</w:t>
            </w:r>
          </w:p>
        </w:tc>
        <w:tc>
          <w:tcPr>
            <w:tcW w:type="dxa" w:w="1440"/>
          </w:tcPr>
          <w:p>
            <w:r>
              <w:rPr>
                <w:rFonts w:ascii="Calibri" w:hAnsi="Calibri"/>
                <w:sz w:val="22"/>
              </w:rPr>
              <w:t>2,466 shares</w:t>
            </w:r>
          </w:p>
        </w:tc>
        <w:tc>
          <w:tcPr>
            <w:tcW w:type="dxa" w:w="1440"/>
          </w:tcPr>
          <w:p>
            <w:r>
              <w:rPr>
                <w:rFonts w:ascii="Calibri" w:hAnsi="Calibri"/>
                <w:sz w:val="22"/>
              </w:rPr>
              <w:t>Apr 27, 2026</w:t>
            </w:r>
          </w:p>
        </w:tc>
        <w:tc>
          <w:tcPr>
            <w:tcW w:type="dxa" w:w="1440"/>
          </w:tcPr>
          <w:p>
            <w:r>
              <w:rPr>
                <w:rFonts w:ascii="Calibri" w:hAnsi="Calibri"/>
                <w:sz w:val="22"/>
              </w:rPr>
              <w:t>Post-blackout window sale; 5 days after Q1 earnings; discretionary</w:t>
            </w:r>
          </w:p>
        </w:tc>
      </w:tr>
      <w:tr>
        <w:tc>
          <w:tcPr>
            <w:tcW w:type="dxa" w:w="1440"/>
          </w:tcPr>
          <w:p>
            <w:r>
              <w:rPr>
                <w:rFonts w:ascii="Calibri" w:hAnsi="Calibri"/>
                <w:sz w:val="22"/>
              </w:rPr>
              <w:t>Gross, Joli L.</w:t>
            </w:r>
          </w:p>
        </w:tc>
        <w:tc>
          <w:tcPr>
            <w:tcW w:type="dxa" w:w="1440"/>
          </w:tcPr>
          <w:p>
            <w:r>
              <w:rPr>
                <w:rFonts w:ascii="Calibri" w:hAnsi="Calibri"/>
                <w:sz w:val="22"/>
              </w:rPr>
              <w:t>SVP, Chief Legal &amp; Sustainability Officer</w:t>
            </w:r>
          </w:p>
        </w:tc>
        <w:tc>
          <w:tcPr>
            <w:tcW w:type="dxa" w:w="1440"/>
          </w:tcPr>
          <w:p>
            <w:r>
              <w:rPr>
                <w:rFonts w:ascii="Calibri" w:hAnsi="Calibri"/>
                <w:sz w:val="22"/>
              </w:rPr>
              <w:t>Open Market Sale</w:t>
            </w:r>
          </w:p>
        </w:tc>
        <w:tc>
          <w:tcPr>
            <w:tcW w:type="dxa" w:w="1440"/>
          </w:tcPr>
          <w:p>
            <w:r>
              <w:rPr>
                <w:rFonts w:ascii="Calibri" w:hAnsi="Calibri"/>
                <w:sz w:val="22"/>
              </w:rPr>
              <w:t>306 shares</w:t>
            </w:r>
          </w:p>
        </w:tc>
        <w:tc>
          <w:tcPr>
            <w:tcW w:type="dxa" w:w="1440"/>
          </w:tcPr>
          <w:p>
            <w:r>
              <w:rPr>
                <w:rFonts w:ascii="Calibri" w:hAnsi="Calibri"/>
                <w:sz w:val="22"/>
              </w:rPr>
              <w:t>Apr 27, 2026</w:t>
            </w:r>
          </w:p>
        </w:tc>
        <w:tc>
          <w:tcPr>
            <w:tcW w:type="dxa" w:w="1440"/>
          </w:tcPr>
          <w:p>
            <w:r>
              <w:rPr>
                <w:rFonts w:ascii="Calibri" w:hAnsi="Calibri"/>
                <w:sz w:val="22"/>
              </w:rPr>
              <w:t>Post-blackout window sale; 5 days after Q1 earnings; small size, routine</w:t>
            </w:r>
          </w:p>
        </w:tc>
      </w:tr>
      <w:tr>
        <w:tc>
          <w:tcPr>
            <w:tcW w:type="dxa" w:w="1440"/>
          </w:tcPr>
          <w:p>
            <w:r>
              <w:rPr>
                <w:rFonts w:ascii="Calibri" w:hAnsi="Calibri"/>
                <w:sz w:val="22"/>
              </w:rPr>
              <w:t>Limoges, Andrew B.</w:t>
            </w:r>
          </w:p>
        </w:tc>
        <w:tc>
          <w:tcPr>
            <w:tcW w:type="dxa" w:w="1440"/>
          </w:tcPr>
          <w:p>
            <w:r>
              <w:rPr>
                <w:rFonts w:ascii="Calibri" w:hAnsi="Calibri"/>
                <w:sz w:val="22"/>
              </w:rPr>
              <w:t>VP, Controller</w:t>
            </w:r>
          </w:p>
        </w:tc>
        <w:tc>
          <w:tcPr>
            <w:tcW w:type="dxa" w:w="1440"/>
          </w:tcPr>
          <w:p>
            <w:r>
              <w:rPr>
                <w:rFonts w:ascii="Calibri" w:hAnsi="Calibri"/>
                <w:sz w:val="22"/>
              </w:rPr>
              <w:t>Open Market Sale</w:t>
            </w:r>
          </w:p>
        </w:tc>
        <w:tc>
          <w:tcPr>
            <w:tcW w:type="dxa" w:w="1440"/>
          </w:tcPr>
          <w:p>
            <w:r>
              <w:rPr>
                <w:rFonts w:ascii="Calibri" w:hAnsi="Calibri"/>
                <w:sz w:val="22"/>
              </w:rPr>
              <w:t>548 shares</w:t>
            </w:r>
          </w:p>
        </w:tc>
        <w:tc>
          <w:tcPr>
            <w:tcW w:type="dxa" w:w="1440"/>
          </w:tcPr>
          <w:p>
            <w:r>
              <w:rPr>
                <w:rFonts w:ascii="Calibri" w:hAnsi="Calibri"/>
                <w:sz w:val="22"/>
              </w:rPr>
              <w:t>Apr 24, 2026</w:t>
            </w:r>
          </w:p>
        </w:tc>
        <w:tc>
          <w:tcPr>
            <w:tcW w:type="dxa" w:w="1440"/>
          </w:tcPr>
          <w:p>
            <w:r>
              <w:rPr>
                <w:rFonts w:ascii="Calibri" w:hAnsi="Calibri"/>
                <w:sz w:val="22"/>
              </w:rPr>
              <w:t>Post-blackout window sale; 2 days after Q1 earnings; small size, routine</w:t>
            </w:r>
          </w:p>
        </w:tc>
      </w:tr>
      <w:tr>
        <w:tc>
          <w:tcPr>
            <w:tcW w:type="dxa" w:w="1440"/>
          </w:tcPr>
          <w:p>
            <w:r>
              <w:rPr>
                <w:rFonts w:ascii="Calibri" w:hAnsi="Calibri"/>
                <w:sz w:val="22"/>
              </w:rPr>
              <w:t>Martore, Gracia C.</w:t>
            </w:r>
          </w:p>
        </w:tc>
        <w:tc>
          <w:tcPr>
            <w:tcW w:type="dxa" w:w="1440"/>
          </w:tcPr>
          <w:p>
            <w:r>
              <w:rPr>
                <w:rFonts w:ascii="Calibri" w:hAnsi="Calibri"/>
                <w:sz w:val="22"/>
              </w:rPr>
              <w:t>Director</w:t>
            </w:r>
          </w:p>
        </w:tc>
        <w:tc>
          <w:tcPr>
            <w:tcW w:type="dxa" w:w="1440"/>
          </w:tcPr>
          <w:p>
            <w:r>
              <w:rPr>
                <w:rFonts w:ascii="Calibri" w:hAnsi="Calibri"/>
                <w:sz w:val="22"/>
              </w:rPr>
              <w:t>Disposition (Code D)</w:t>
            </w:r>
          </w:p>
        </w:tc>
        <w:tc>
          <w:tcPr>
            <w:tcW w:type="dxa" w:w="1440"/>
          </w:tcPr>
          <w:p>
            <w:r>
              <w:rPr>
                <w:rFonts w:ascii="Calibri" w:hAnsi="Calibri"/>
                <w:sz w:val="22"/>
              </w:rPr>
              <w:t>213 shares</w:t>
            </w:r>
          </w:p>
        </w:tc>
        <w:tc>
          <w:tcPr>
            <w:tcW w:type="dxa" w:w="1440"/>
          </w:tcPr>
          <w:p>
            <w:r>
              <w:rPr>
                <w:rFonts w:ascii="Calibri" w:hAnsi="Calibri"/>
                <w:sz w:val="22"/>
              </w:rPr>
              <w:t>May 4, 2026</w:t>
            </w:r>
          </w:p>
        </w:tc>
        <w:tc>
          <w:tcPr>
            <w:tcW w:type="dxa" w:w="1440"/>
          </w:tcPr>
          <w:p>
            <w:r>
              <w:rPr>
                <w:rFonts w:ascii="Calibri" w:hAnsi="Calibri"/>
                <w:sz w:val="22"/>
              </w:rPr>
              <w:t>Disposition (likely tax withholding on equity award); not an open-market sale</w:t>
            </w:r>
          </w:p>
        </w:tc>
      </w:tr>
      <w:tr>
        <w:tc>
          <w:tcPr>
            <w:tcW w:type="dxa" w:w="1440"/>
          </w:tcPr>
          <w:p>
            <w:r>
              <w:rPr>
                <w:rFonts w:ascii="Calibri" w:hAnsi="Calibri"/>
                <w:sz w:val="22"/>
              </w:rPr>
              <w:t>Multiple Directors (8 individuals)</w:t>
            </w:r>
          </w:p>
        </w:tc>
        <w:tc>
          <w:tcPr>
            <w:tcW w:type="dxa" w:w="1440"/>
          </w:tcPr>
          <w:p>
            <w:r>
              <w:rPr>
                <w:rFonts w:ascii="Calibri" w:hAnsi="Calibri"/>
                <w:sz w:val="22"/>
              </w:rPr>
              <w:t>Directors (Board)</w:t>
            </w:r>
          </w:p>
        </w:tc>
        <w:tc>
          <w:tcPr>
            <w:tcW w:type="dxa" w:w="1440"/>
          </w:tcPr>
          <w:p>
            <w:r>
              <w:rPr>
                <w:rFonts w:ascii="Calibri" w:hAnsi="Calibri"/>
                <w:sz w:val="22"/>
              </w:rPr>
              <w:t>Equity Award (Code A)</w:t>
            </w:r>
          </w:p>
        </w:tc>
        <w:tc>
          <w:tcPr>
            <w:tcW w:type="dxa" w:w="1440"/>
          </w:tcPr>
          <w:p>
            <w:r>
              <w:rPr>
                <w:rFonts w:ascii="Calibri" w:hAnsi="Calibri"/>
                <w:sz w:val="22"/>
              </w:rPr>
              <w:t>203 shares each (May 8); 34 shares (Bruno, Jun 30)</w:t>
            </w:r>
          </w:p>
        </w:tc>
        <w:tc>
          <w:tcPr>
            <w:tcW w:type="dxa" w:w="1440"/>
          </w:tcPr>
          <w:p>
            <w:r>
              <w:rPr>
                <w:rFonts w:ascii="Calibri" w:hAnsi="Calibri"/>
                <w:sz w:val="22"/>
              </w:rPr>
              <w:t>May 8 &amp; Jun 30, 2026</w:t>
            </w:r>
          </w:p>
        </w:tc>
        <w:tc>
          <w:tcPr>
            <w:tcW w:type="dxa" w:w="1440"/>
          </w:tcPr>
          <w:p>
            <w:r>
              <w:rPr>
                <w:rFonts w:ascii="Calibri" w:hAnsi="Calibri"/>
                <w:sz w:val="22"/>
              </w:rPr>
              <w:t>Routine annual director equity compensation; not open-market purchases; no signal value</w:t>
            </w:r>
          </w:p>
        </w:tc>
      </w:tr>
    </w:tbl>
    <w:p>
      <w:r>
        <w:rPr>
          <w:rFonts w:ascii="Calibri" w:hAnsi="Calibri"/>
          <w:b/>
          <w:color w:val="525866"/>
          <w:sz w:val="22"/>
        </w:rPr>
        <w:t xml:space="preserve">Assessment: </w:t>
      </w:r>
      <w:r>
        <w:rPr>
          <w:rFonts w:ascii="Calibri" w:hAnsi="Calibri"/>
          <w:color w:val="525866"/>
          <w:sz w:val="22"/>
        </w:rPr>
        <w:t xml:space="preserve">The CEO's sale of 22,768 shares on April 24 — two days after the Q1 earnings surge — is the most notable transaction, but the timing (immediately post-blackout window opening after a ~23% single-day gain) is consistent with opportunistic post-earnings selling rather than a negative signal about the business outlook. No insider has made an open-market purchase since the Q1 print, and there are no 10b5-1 plan initiations or unusual clustered sales in the data. The absence of any buying at current prices (~$1,000+) is notable given the stock's premium valuation, but not alarming given the post-earnings run-up. </w:t>
      </w:r>
      <w:r>
        <w:rPr>
          <w:rFonts w:ascii="Calibri" w:hAnsi="Calibri"/>
          <w:b/>
          <w:color w:val="525866"/>
          <w:sz w:val="22"/>
        </w:rPr>
        <w:t>Overall: no meaningful insider signal either way heading into Q2 earnings.</w:t>
      </w:r>
    </w:p>
    <w:p>
      <w:r>
        <w:rPr>
          <w:rFonts w:ascii="Calibri" w:hAnsi="Calibri"/>
          <w:i/>
          <w:color w:val="525866"/>
          <w:sz w:val="22"/>
        </w:rPr>
        <w:t>Source: SEC Form 4 filings via Insider Transaction Data. Open-market buys (Code P) and sells (Code S) only for signal assessment; Code A (awards) and Code D (dispositions/tax withholding) are noted for completeness but carry no directional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