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United Rentals (URI) — Q2 2026 Earnings Preview</w:t>
      </w:r>
    </w:p>
    <w:p>
      <w:r>
        <w:rPr>
          <w:rFonts w:ascii="Calibri" w:hAnsi="Calibri"/>
          <w:b/>
          <w:color w:val="525866"/>
          <w:sz w:val="22"/>
        </w:rPr>
        <w:t xml:space="preserve">Ticker: </w:t>
      </w:r>
      <w:r>
        <w:rPr>
          <w:rFonts w:ascii="Calibri" w:hAnsi="Calibri"/>
          <w:color w:val="525866"/>
          <w:sz w:val="22"/>
        </w:rPr>
        <w:t xml:space="preserve">URI  </w:t>
      </w:r>
      <w:r>
        <w:rPr>
          <w:rFonts w:ascii="Calibri" w:hAnsi="Calibri"/>
          <w:b/>
          <w:color w:val="525866"/>
          <w:sz w:val="22"/>
        </w:rPr>
        <w:t xml:space="preserve">Earnings Date: </w:t>
      </w:r>
      <w:r>
        <w:rPr>
          <w:rFonts w:ascii="Calibri" w:hAnsi="Calibri"/>
          <w:color w:val="525866"/>
          <w:sz w:val="22"/>
        </w:rPr>
        <w:t xml:space="preserve">July 23, 2026 (8:30 AM ET)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after Q1's record print, and the matting project tailwind (deferred from Q4 2025) is expected to fully kick off in Q2, providing an incremental lift not yet fully priced in. </w:t>
      </w:r>
      <w:r>
        <w:rPr>
          <w:rFonts w:ascii="Calibri" w:hAnsi="Calibri"/>
          <w:b/>
          <w:color w:val="525866"/>
          <w:sz w:val="22"/>
        </w:rPr>
        <w:t>Fleet productivity</w:t>
      </w:r>
      <w:r>
        <w:rPr>
          <w:rFonts w:ascii="Calibri" w:hAnsi="Calibri"/>
          <w:color w:val="525866"/>
          <w:sz w:val="22"/>
        </w:rPr>
        <w:t xml:space="preserve"> is the single biggest swing factor.</w:t>
      </w:r>
    </w:p>
    <w:p>
      <w:r>
        <w:rPr>
          <w:rFonts w:ascii="Calibri" w:hAnsi="Calibri"/>
          <w:color w:val="525866"/>
          <w:sz w:val="22"/>
        </w:rPr>
        <w:t xml:space="preserve">Heading into Q2 2026 earnings, URI carries significant momentum from a record Q1 print that sent the stock up nearly 20% on April 22–23. </w:t>
      </w:r>
      <w:r>
        <w:rPr>
          <w:rFonts w:ascii="Calibri" w:hAnsi="Calibri"/>
          <w:b/>
          <w:color w:val="525866"/>
          <w:sz w:val="22"/>
        </w:rPr>
        <w:t>Consensus revenue of ~$4.20B and adjusted EBITDA of ~$1.92B represent a manageable bar</w:t>
      </w:r>
      <w:r>
        <w:rPr>
          <w:rFonts w:ascii="Calibri" w:hAnsi="Calibri"/>
          <w:color w:val="525866"/>
          <w:sz w:val="22"/>
        </w:rPr>
        <w:t xml:space="preserve"> — estimates have drifted only modestly since the Q1 beat, suggesting the Street has not aggressively front-run the busy season. Management raised full-year guidance by $100M on revenue and $50M on EBITDA at Q1, signaling confidence in the trajectory, and tone on the April call was decisively bullish — a sharp reversal from the defensive posture after Q4 2025. The key wildcard is </w:t>
      </w:r>
      <w:r>
        <w:rPr>
          <w:rFonts w:ascii="Calibri" w:hAnsi="Calibri"/>
          <w:b/>
          <w:color w:val="525866"/>
          <w:sz w:val="22"/>
        </w:rPr>
        <w:t>fleet productivity</w:t>
      </w:r>
      <w:r>
        <w:rPr>
          <w:rFonts w:ascii="Calibri" w:hAnsi="Calibri"/>
          <w:color w:val="525866"/>
          <w:sz w:val="22"/>
        </w:rPr>
        <w:t xml:space="preserve">: Q1 came in at 2.3% (above the 1.5% inflation bogey) without the full benefit of the matting project, which management confirmed would kick off in Q2 — meaning Q2 fleet productivity could surprise to the upside if that project ramps as expected. The stock has rallied ~26% from the Q1 earnings date to its June 30 peak of ~$1,133 before pulling back ~10% to ~$1,014 as of July 21, suggesting some mean-reversion risk if the print is merely in-line; however, </w:t>
      </w:r>
      <w:r>
        <w:rPr>
          <w:rFonts w:ascii="Calibri" w:hAnsi="Calibri"/>
          <w:b/>
          <w:color w:val="525866"/>
          <w:sz w:val="22"/>
        </w:rPr>
        <w:t>delivery cost execution through the busy season</w:t>
      </w:r>
      <w:r>
        <w:rPr>
          <w:rFonts w:ascii="Calibri" w:hAnsi="Calibri"/>
          <w:color w:val="525866"/>
          <w:sz w:val="22"/>
        </w:rPr>
        <w:t xml:space="preserve"> remains the primary margin risk that could disappoint even on a revenue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heading into Q2 — revenue and EBITDA estimates have been stable-to-slightly-rising since the Q1 beat, and the matting project tailwind provides a potential upside catalyst not fully embedded in Street models. </w:t>
      </w:r>
      <w:r>
        <w:rPr>
          <w:rFonts w:ascii="Calibri" w:hAnsi="Calibri"/>
          <w:b/>
          <w:color w:val="525866"/>
          <w:sz w:val="22"/>
        </w:rPr>
        <w:t>Fleet productivity</w:t>
      </w:r>
      <w:r>
        <w:rPr>
          <w:rFonts w:ascii="Calibri" w:hAnsi="Calibri"/>
          <w:color w:val="525866"/>
          <w:sz w:val="22"/>
        </w:rPr>
        <w:t xml:space="preserve"> is the bigger swing factor vs. revenue; a print above ~2.0% would be a clear positive signal.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(Raised Q1)</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$3.985B</w:t>
            </w:r>
          </w:p>
        </w:tc>
        <w:tc>
          <w:tcPr>
            <w:tcW w:type="dxa" w:w="1234"/>
          </w:tcPr>
          <w:p>
            <w:r>
              <w:rPr>
                <w:rFonts w:ascii="Calibri" w:hAnsi="Calibri"/>
                <w:sz w:val="22"/>
              </w:rPr>
              <w:t>$3.943B</w:t>
            </w:r>
          </w:p>
        </w:tc>
        <w:tc>
          <w:tcPr>
            <w:tcW w:type="dxa" w:w="1234"/>
          </w:tcPr>
          <w:p>
            <w:r>
              <w:rPr>
                <w:rFonts w:ascii="Calibri" w:hAnsi="Calibri"/>
                <w:sz w:val="22"/>
              </w:rPr>
              <w:t>$4.204B</w:t>
            </w:r>
          </w:p>
        </w:tc>
        <w:tc>
          <w:tcPr>
            <w:tcW w:type="dxa" w:w="1234"/>
          </w:tcPr>
          <w:p>
            <w:r>
              <w:rPr>
                <w:rFonts w:ascii="Calibri" w:hAnsi="Calibri"/>
                <w:sz w:val="22"/>
              </w:rPr>
              <w:t>+6.6%</w:t>
            </w:r>
          </w:p>
        </w:tc>
        <w:tc>
          <w:tcPr>
            <w:tcW w:type="dxa" w:w="1234"/>
          </w:tcPr>
          <w:p>
            <w:r>
              <w:rPr>
                <w:rFonts w:ascii="Calibri" w:hAnsi="Calibri"/>
                <w:sz w:val="22"/>
              </w:rPr>
              <w:t>$16.9B–$17.4B (FY)</w:t>
            </w:r>
          </w:p>
        </w:tc>
        <w:tc>
          <w:tcPr>
            <w:tcW w:type="dxa" w:w="1234"/>
          </w:tcPr>
          <w:p>
            <w:r>
              <w:rPr>
                <w:rFonts w:ascii="Calibri" w:hAnsi="Calibri"/>
                <w:sz w:val="22"/>
              </w:rPr>
              <w:t>~+0.1% vs. midpoint</w:t>
            </w:r>
          </w:p>
        </w:tc>
      </w:tr>
      <w:tr>
        <w:tc>
          <w:tcPr>
            <w:tcW w:type="dxa" w:w="1234"/>
          </w:tcPr>
          <w:p>
            <w:r>
              <w:rPr>
                <w:rFonts w:ascii="Calibri" w:hAnsi="Calibri"/>
                <w:sz w:val="22"/>
              </w:rPr>
              <w:t>Adj. EBITDA ($B)</w:t>
            </w:r>
          </w:p>
        </w:tc>
        <w:tc>
          <w:tcPr>
            <w:tcW w:type="dxa" w:w="1234"/>
          </w:tcPr>
          <w:p>
            <w:r>
              <w:rPr>
                <w:rFonts w:ascii="Calibri" w:hAnsi="Calibri"/>
                <w:sz w:val="22"/>
              </w:rPr>
              <w:t>$1.759B</w:t>
            </w:r>
          </w:p>
        </w:tc>
        <w:tc>
          <w:tcPr>
            <w:tcW w:type="dxa" w:w="1234"/>
          </w:tcPr>
          <w:p>
            <w:r>
              <w:rPr>
                <w:rFonts w:ascii="Calibri" w:hAnsi="Calibri"/>
                <w:sz w:val="22"/>
              </w:rPr>
              <w:t>$1.810B</w:t>
            </w:r>
          </w:p>
        </w:tc>
        <w:tc>
          <w:tcPr>
            <w:tcW w:type="dxa" w:w="1234"/>
          </w:tcPr>
          <w:p>
            <w:r>
              <w:rPr>
                <w:rFonts w:ascii="Calibri" w:hAnsi="Calibri"/>
                <w:sz w:val="22"/>
              </w:rPr>
              <w:t>$1.915B</w:t>
            </w:r>
          </w:p>
        </w:tc>
        <w:tc>
          <w:tcPr>
            <w:tcW w:type="dxa" w:w="1234"/>
          </w:tcPr>
          <w:p>
            <w:r>
              <w:rPr>
                <w:rFonts w:ascii="Calibri" w:hAnsi="Calibri"/>
                <w:sz w:val="22"/>
              </w:rPr>
              <w:t>+5.8%</w:t>
            </w:r>
          </w:p>
        </w:tc>
        <w:tc>
          <w:tcPr>
            <w:tcW w:type="dxa" w:w="1234"/>
          </w:tcPr>
          <w:p>
            <w:r>
              <w:rPr>
                <w:rFonts w:ascii="Calibri" w:hAnsi="Calibri"/>
                <w:sz w:val="22"/>
              </w:rPr>
              <w:t>$7.625B–$7.875B (FY)</w:t>
            </w:r>
          </w:p>
        </w:tc>
        <w:tc>
          <w:tcPr>
            <w:tcW w:type="dxa" w:w="1234"/>
          </w:tcPr>
          <w:p>
            <w:r>
              <w:rPr>
                <w:rFonts w:ascii="Calibri" w:hAnsi="Calibri"/>
                <w:sz w:val="22"/>
              </w:rPr>
              <w:t>~+0.1% vs. midpoint</w:t>
            </w:r>
          </w:p>
        </w:tc>
      </w:tr>
      <w:tr>
        <w:tc>
          <w:tcPr>
            <w:tcW w:type="dxa" w:w="1234"/>
          </w:tcPr>
          <w:p>
            <w:r>
              <w:rPr>
                <w:rFonts w:ascii="Calibri" w:hAnsi="Calibri"/>
                <w:sz w:val="22"/>
              </w:rPr>
              <w:t>Adj. EPS (Diluted, ex-merger)</w:t>
            </w:r>
          </w:p>
        </w:tc>
        <w:tc>
          <w:tcPr>
            <w:tcW w:type="dxa" w:w="1234"/>
          </w:tcPr>
          <w:p>
            <w:r>
              <w:rPr>
                <w:rFonts w:ascii="Calibri" w:hAnsi="Calibri"/>
                <w:sz w:val="22"/>
              </w:rPr>
              <w:t>$9.28</w:t>
            </w:r>
          </w:p>
        </w:tc>
        <w:tc>
          <w:tcPr>
            <w:tcW w:type="dxa" w:w="1234"/>
          </w:tcPr>
          <w:p>
            <w:r>
              <w:rPr>
                <w:rFonts w:ascii="Calibri" w:hAnsi="Calibri"/>
                <w:sz w:val="22"/>
              </w:rPr>
              <w:t>$9.96</w:t>
            </w:r>
          </w:p>
        </w:tc>
        <w:tc>
          <w:tcPr>
            <w:tcW w:type="dxa" w:w="1234"/>
          </w:tcPr>
          <w:p>
            <w:r>
              <w:rPr>
                <w:rFonts w:ascii="Calibri" w:hAnsi="Calibri"/>
                <w:sz w:val="22"/>
              </w:rPr>
              <w:t>$11.26</w:t>
            </w:r>
          </w:p>
        </w:tc>
        <w:tc>
          <w:tcPr>
            <w:tcW w:type="dxa" w:w="1234"/>
          </w:tcPr>
          <w:p>
            <w:r>
              <w:rPr>
                <w:rFonts w:ascii="Calibri" w:hAnsi="Calibri"/>
                <w:sz w:val="22"/>
              </w:rPr>
              <w:t>+13.1%</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Fleet Productivity (%)</w:t>
            </w:r>
          </w:p>
        </w:tc>
        <w:tc>
          <w:tcPr>
            <w:tcW w:type="dxa" w:w="1234"/>
          </w:tcPr>
          <w:p>
            <w:r>
              <w:rPr>
                <w:rFonts w:ascii="Calibri" w:hAnsi="Calibri"/>
                <w:sz w:val="22"/>
              </w:rPr>
              <w:t>2.3%</w:t>
            </w:r>
          </w:p>
        </w:tc>
        <w:tc>
          <w:tcPr>
            <w:tcW w:type="dxa" w:w="1234"/>
          </w:tcPr>
          <w:p>
            <w:r>
              <w:rPr>
                <w:rFonts w:ascii="Calibri" w:hAnsi="Calibri"/>
                <w:sz w:val="22"/>
              </w:rPr>
              <w:t>3.3%</w:t>
            </w:r>
          </w:p>
        </w:tc>
        <w:tc>
          <w:tcPr>
            <w:tcW w:type="dxa" w:w="1234"/>
          </w:tcPr>
          <w:p>
            <w:r>
              <w:rPr>
                <w:rFonts w:ascii="Calibri" w:hAnsi="Calibri"/>
                <w:sz w:val="22"/>
              </w:rPr>
              <w:t>~2.0%</w:t>
            </w:r>
          </w:p>
        </w:tc>
        <w:tc>
          <w:tcPr>
            <w:tcW w:type="dxa" w:w="1234"/>
          </w:tcPr>
          <w:p>
            <w:r>
              <w:rPr>
                <w:rFonts w:ascii="Calibri" w:hAnsi="Calibri"/>
                <w:sz w:val="22"/>
              </w:rPr>
              <w:t>-130 bps YoY</w:t>
            </w:r>
          </w:p>
        </w:tc>
        <w:tc>
          <w:tcPr>
            <w:tcW w:type="dxa" w:w="1234"/>
          </w:tcPr>
          <w:p>
            <w:r>
              <w:rPr>
                <w:rFonts w:ascii="Calibri" w:hAnsi="Calibri"/>
                <w:sz w:val="22"/>
              </w:rPr>
              <w:t>&gt;1.5% (inflation bogey)</w:t>
            </w:r>
          </w:p>
        </w:tc>
        <w:tc>
          <w:tcPr>
            <w:tcW w:type="dxa" w:w="1234"/>
          </w:tcPr>
          <w:p>
            <w:r>
              <w:rPr>
                <w:rFonts w:ascii="Calibri" w:hAnsi="Calibri"/>
                <w:sz w:val="22"/>
              </w:rPr>
              <w:t>~+50 bps above bogey</w:t>
            </w:r>
          </w:p>
        </w:tc>
      </w:tr>
      <w:tr>
        <w:tc>
          <w:tcPr>
            <w:tcW w:type="dxa" w:w="1234"/>
          </w:tcPr>
          <w:p>
            <w:r>
              <w:rPr>
                <w:rFonts w:ascii="Calibri" w:hAnsi="Calibri"/>
                <w:sz w:val="22"/>
              </w:rPr>
              <w:t>Free Cash Flow ($B)</w:t>
            </w:r>
          </w:p>
        </w:tc>
        <w:tc>
          <w:tcPr>
            <w:tcW w:type="dxa" w:w="1234"/>
          </w:tcPr>
          <w:p>
            <w:r>
              <w:rPr>
                <w:rFonts w:ascii="Calibri" w:hAnsi="Calibri"/>
                <w:sz w:val="22"/>
              </w:rPr>
              <w:t>$1.044B</w:t>
            </w:r>
          </w:p>
        </w:tc>
        <w:tc>
          <w:tcPr>
            <w:tcW w:type="dxa" w:w="1234"/>
          </w:tcPr>
          <w:p>
            <w:r>
              <w:rPr>
                <w:rFonts w:ascii="Calibri" w:hAnsi="Calibri"/>
                <w:sz w:val="22"/>
              </w:rPr>
              <w:t>$0.104B</w:t>
            </w:r>
          </w:p>
        </w:tc>
        <w:tc>
          <w:tcPr>
            <w:tcW w:type="dxa" w:w="1234"/>
          </w:tcPr>
          <w:p>
            <w:r>
              <w:rPr>
                <w:rFonts w:ascii="Calibri" w:hAnsi="Calibri"/>
                <w:sz w:val="22"/>
              </w:rPr>
              <w:t>$0.266B</w:t>
            </w:r>
          </w:p>
        </w:tc>
        <w:tc>
          <w:tcPr>
            <w:tcW w:type="dxa" w:w="1234"/>
          </w:tcPr>
          <w:p>
            <w:r>
              <w:rPr>
                <w:rFonts w:ascii="Calibri" w:hAnsi="Calibri"/>
                <w:sz w:val="22"/>
              </w:rPr>
              <w:t>N/M (seasonal)</w:t>
            </w:r>
          </w:p>
        </w:tc>
        <w:tc>
          <w:tcPr>
            <w:tcW w:type="dxa" w:w="1234"/>
          </w:tcPr>
          <w:p>
            <w:r>
              <w:rPr>
                <w:rFonts w:ascii="Calibri" w:hAnsi="Calibri"/>
                <w:sz w:val="22"/>
              </w:rPr>
              <w:t>$2.15B–$2.45B (FY)</w:t>
            </w:r>
          </w:p>
        </w:tc>
        <w:tc>
          <w:tcPr>
            <w:tcW w:type="dxa" w:w="1234"/>
          </w:tcPr>
          <w:p>
            <w:r>
              <w:rPr>
                <w:rFonts w:ascii="Calibri" w:hAnsi="Calibri"/>
                <w:sz w:val="22"/>
              </w:rPr>
              <w:t>~+0.5% vs. midpoint</w:t>
            </w:r>
          </w:p>
        </w:tc>
      </w:tr>
    </w:tbl>
    <w:p>
      <w:r>
        <w:rPr>
          <w:rFonts w:ascii="Calibri" w:hAnsi="Calibri"/>
          <w:i/>
          <w:color w:val="525866"/>
          <w:sz w:val="22"/>
        </w:rPr>
        <w:t xml:space="preserve">Sources: Visible Alpha Consensus and Actuals Data. </w:t>
      </w:r>
      <w:r>
        <w:rPr>
          <w:rFonts w:ascii="Calibri" w:hAnsi="Calibri"/>
          <w:i/>
          <w:color w:val="525866"/>
          <w:sz w:val="22"/>
        </w:rPr>
        <w:t>Note: Q2 is seasonally URI's peak capex deployment quarter; FCF is typically lowest in Q2 due to fleet investment. Adj. EPS consensus for Q2 2026 is $11.26 per Visible Alpha. Fleet productivity consensus of ~2.0% reflects analyst expectations; actual Q1 2026 came in at 2.3%, above the 1.5% inflation bogey.</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$3.985B</w:t>
            </w:r>
          </w:p>
        </w:tc>
        <w:tc>
          <w:tcPr>
            <w:tcW w:type="dxa" w:w="1728"/>
          </w:tcPr>
          <w:p>
            <w:r>
              <w:rPr>
                <w:rFonts w:ascii="Calibri" w:hAnsi="Calibri"/>
                <w:sz w:val="22"/>
              </w:rPr>
              <w:t>$3.891B</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$4.208B</w:t>
            </w:r>
          </w:p>
        </w:tc>
        <w:tc>
          <w:tcPr>
            <w:tcW w:type="dxa" w:w="1728"/>
          </w:tcPr>
          <w:p>
            <w:r>
              <w:rPr>
                <w:rFonts w:ascii="Calibri" w:hAnsi="Calibri"/>
                <w:sz w:val="22"/>
              </w:rPr>
              <w:t>$4.236B</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$4.229B</w:t>
            </w:r>
          </w:p>
        </w:tc>
        <w:tc>
          <w:tcPr>
            <w:tcW w:type="dxa" w:w="1728"/>
          </w:tcPr>
          <w:p>
            <w:r>
              <w:rPr>
                <w:rFonts w:ascii="Calibri" w:hAnsi="Calibri"/>
                <w:sz w:val="22"/>
              </w:rPr>
              <w:t>$4.162B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$3.943B</w:t>
            </w:r>
          </w:p>
        </w:tc>
        <w:tc>
          <w:tcPr>
            <w:tcW w:type="dxa" w:w="1728"/>
          </w:tcPr>
          <w:p>
            <w:r>
              <w:rPr>
                <w:rFonts w:ascii="Calibri" w:hAnsi="Calibri"/>
                <w:sz w:val="22"/>
              </w:rPr>
              <w:t>$3.910B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$3.719B</w:t>
            </w:r>
          </w:p>
        </w:tc>
        <w:tc>
          <w:tcPr>
            <w:tcW w:type="dxa" w:w="1728"/>
          </w:tcPr>
          <w:p>
            <w:r>
              <w:rPr>
                <w:rFonts w:ascii="Calibri" w:hAnsi="Calibri"/>
                <w:sz w:val="22"/>
              </w:rPr>
              <w:t>$3.627B</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$4.095B</w:t>
            </w:r>
          </w:p>
        </w:tc>
        <w:tc>
          <w:tcPr>
            <w:tcW w:type="dxa" w:w="1728"/>
          </w:tcPr>
          <w:p>
            <w:r>
              <w:rPr>
                <w:rFonts w:ascii="Calibri" w:hAnsi="Calibri"/>
                <w:sz w:val="22"/>
              </w:rPr>
              <w:t>$3.941B</w:t>
            </w:r>
          </w:p>
        </w:tc>
        <w:tc>
          <w:tcPr>
            <w:tcW w:type="dxa" w:w="1728"/>
          </w:tcPr>
          <w:p>
            <w:r>
              <w:rPr>
                <w:rFonts w:ascii="Calibri" w:hAnsi="Calibri"/>
                <w:b/>
                <w:color w:val="30A46C"/>
                <w:sz w:val="22"/>
              </w:rPr>
              <w:t>+3.9%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$3.992B</w:t>
            </w:r>
          </w:p>
        </w:tc>
        <w:tc>
          <w:tcPr>
            <w:tcW w:type="dxa" w:w="1728"/>
          </w:tcPr>
          <w:p>
            <w:r>
              <w:rPr>
                <w:rFonts w:ascii="Calibri" w:hAnsi="Calibri"/>
                <w:sz w:val="22"/>
              </w:rPr>
              <w:t>$4.004B</w:t>
            </w:r>
          </w:p>
        </w:tc>
        <w:tc>
          <w:tcPr>
            <w:tcW w:type="dxa" w:w="1728"/>
          </w:tcPr>
          <w:p>
            <w:r>
              <w:rPr>
                <w:rFonts w:ascii="Calibri" w:hAnsi="Calibri"/>
                <w:b/>
                <w:color w:val="E5484D"/>
                <w:sz w:val="22"/>
              </w:rPr>
              <w:t>-0.3%</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$1.759B</w:t>
            </w:r>
          </w:p>
        </w:tc>
        <w:tc>
          <w:tcPr>
            <w:tcW w:type="dxa" w:w="1728"/>
          </w:tcPr>
          <w:p>
            <w:r>
              <w:rPr>
                <w:rFonts w:ascii="Calibri" w:hAnsi="Calibri"/>
                <w:sz w:val="22"/>
              </w:rPr>
              <w:t>$1.685B</w:t>
            </w:r>
          </w:p>
        </w:tc>
        <w:tc>
          <w:tcPr>
            <w:tcW w:type="dxa" w:w="1728"/>
          </w:tcPr>
          <w:p>
            <w:r>
              <w:rPr>
                <w:rFonts w:ascii="Calibri" w:hAnsi="Calibri"/>
                <w:b/>
                <w:color w:val="30A46C"/>
                <w:sz w:val="22"/>
              </w:rPr>
              <w:t>+4.4%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$1.901B</w:t>
            </w:r>
          </w:p>
        </w:tc>
        <w:tc>
          <w:tcPr>
            <w:tcW w:type="dxa" w:w="1728"/>
          </w:tcPr>
          <w:p>
            <w:r>
              <w:rPr>
                <w:rFonts w:ascii="Calibri" w:hAnsi="Calibri"/>
                <w:sz w:val="22"/>
              </w:rPr>
              <w:t>$1.944B</w:t>
            </w:r>
          </w:p>
        </w:tc>
        <w:tc>
          <w:tcPr>
            <w:tcW w:type="dxa" w:w="1728"/>
          </w:tcPr>
          <w:p>
            <w:r>
              <w:rPr>
                <w:rFonts w:ascii="Calibri" w:hAnsi="Calibri"/>
                <w:b/>
                <w:color w:val="E5484D"/>
                <w:sz w:val="22"/>
              </w:rPr>
              <w:t>-2.2%</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$1.946B</w:t>
            </w:r>
          </w:p>
        </w:tc>
        <w:tc>
          <w:tcPr>
            <w:tcW w:type="dxa" w:w="1728"/>
          </w:tcPr>
          <w:p>
            <w:r>
              <w:rPr>
                <w:rFonts w:ascii="Calibri" w:hAnsi="Calibri"/>
                <w:sz w:val="22"/>
              </w:rPr>
              <w:t>$1.962B</w:t>
            </w:r>
          </w:p>
        </w:tc>
        <w:tc>
          <w:tcPr>
            <w:tcW w:type="dxa" w:w="1728"/>
          </w:tcPr>
          <w:p>
            <w:r>
              <w:rPr>
                <w:rFonts w:ascii="Calibri" w:hAnsi="Calibri"/>
                <w:b/>
                <w:color w:val="E5484D"/>
                <w:sz w:val="22"/>
              </w:rPr>
              <w:t>-0.8%</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$1.810B</w:t>
            </w:r>
          </w:p>
        </w:tc>
        <w:tc>
          <w:tcPr>
            <w:tcW w:type="dxa" w:w="1728"/>
          </w:tcPr>
          <w:p>
            <w:r>
              <w:rPr>
                <w:rFonts w:ascii="Calibri" w:hAnsi="Calibri"/>
                <w:sz w:val="22"/>
              </w:rPr>
              <w:t>$1.789B</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$1.671B</w:t>
            </w:r>
          </w:p>
        </w:tc>
        <w:tc>
          <w:tcPr>
            <w:tcW w:type="dxa" w:w="1728"/>
          </w:tcPr>
          <w:p>
            <w:r>
              <w:rPr>
                <w:rFonts w:ascii="Calibri" w:hAnsi="Calibri"/>
                <w:sz w:val="22"/>
              </w:rPr>
              <w:t>$1.638B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$1.900B</w:t>
            </w:r>
          </w:p>
        </w:tc>
        <w:tc>
          <w:tcPr>
            <w:tcW w:type="dxa" w:w="1728"/>
          </w:tcPr>
          <w:p>
            <w:r>
              <w:rPr>
                <w:rFonts w:ascii="Calibri" w:hAnsi="Calibri"/>
                <w:sz w:val="22"/>
              </w:rPr>
              <w:t>$1.893B</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$1.904B</w:t>
            </w:r>
          </w:p>
        </w:tc>
        <w:tc>
          <w:tcPr>
            <w:tcW w:type="dxa" w:w="1728"/>
          </w:tcPr>
          <w:p>
            <w:r>
              <w:rPr>
                <w:rFonts w:ascii="Calibri" w:hAnsi="Calibri"/>
                <w:sz w:val="22"/>
              </w:rPr>
              <w:t>$1.942B</w:t>
            </w:r>
          </w:p>
        </w:tc>
        <w:tc>
          <w:tcPr>
            <w:tcW w:type="dxa" w:w="1728"/>
          </w:tcPr>
          <w:p>
            <w:r>
              <w:rPr>
                <w:rFonts w:ascii="Calibri" w:hAnsi="Calibri"/>
                <w:b/>
                <w:color w:val="E5484D"/>
                <w:sz w:val="22"/>
              </w:rPr>
              <w:t>-2.0%</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URI has beaten revenue consensus in 5 of the last 7 reported quarters and EBITDA in 4 of 7, with misses concentrated in Q3–Q4 2024 and Q3–Q4 2025 when fleet productivity disappointed; the Q1 2026 beat was the largest in recent history, resetting the bar higher but also demonstrating management's ability to execute when project timing normalizes.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2026 guidance at Q1 earnings (April 22) and has not issued any subsequent revision — the baseline is the raised guidance. </w:t>
      </w:r>
      <w:r>
        <w:rPr>
          <w:rFonts w:ascii="Calibri" w:hAnsi="Calibri"/>
          <w:b/>
          <w:color w:val="525866"/>
          <w:sz w:val="22"/>
        </w:rPr>
        <w:t>Tone shifted decisively bullish</w:t>
      </w:r>
      <w:r>
        <w:rPr>
          <w:rFonts w:ascii="Calibri" w:hAnsi="Calibri"/>
          <w:color w:val="525866"/>
          <w:sz w:val="22"/>
        </w:rPr>
        <w:t xml:space="preserve"> on the Q1 call, with CEO Flannery citing 'multiyear tailwinds for large projects' and CFO Grace reiterating flat-margin goal for the full year; no post-earnings guidance update has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 (Q1 2026 Earnings, Apr 22)</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(FY2026)</w:t>
            </w:r>
          </w:p>
        </w:tc>
        <w:tc>
          <w:tcPr>
            <w:tcW w:type="dxa" w:w="1728"/>
          </w:tcPr>
          <w:p>
            <w:r>
              <w:rPr>
                <w:rFonts w:ascii="Calibri" w:hAnsi="Calibri"/>
                <w:sz w:val="22"/>
              </w:rPr>
              <w:t>$16.8B–$17.3B</w:t>
            </w:r>
          </w:p>
        </w:tc>
        <w:tc>
          <w:tcPr>
            <w:tcW w:type="dxa" w:w="1728"/>
          </w:tcPr>
          <w:p>
            <w:r>
              <w:rPr>
                <w:rFonts w:ascii="Calibri" w:hAnsi="Calibri"/>
                <w:b/>
                <w:color w:val="30A46C"/>
                <w:sz w:val="22"/>
              </w:rPr>
              <w:t>$16.9B–$17.4B</w:t>
            </w:r>
          </w:p>
        </w:tc>
        <w:tc>
          <w:tcPr>
            <w:tcW w:type="dxa" w:w="1728"/>
          </w:tcPr>
          <w:p>
            <w:r>
              <w:rPr>
                <w:rFonts w:ascii="Calibri" w:hAnsi="Calibri"/>
                <w:sz w:val="22"/>
              </w:rPr>
              <w:t>$17.24B</w:t>
            </w:r>
          </w:p>
        </w:tc>
        <w:tc>
          <w:tcPr>
            <w:tcW w:type="dxa" w:w="1728"/>
          </w:tcPr>
          <w:p>
            <w:r>
              <w:rPr>
                <w:rFonts w:ascii="Calibri" w:hAnsi="Calibri"/>
                <w:sz w:val="22"/>
              </w:rPr>
              <w:t>↑ Raised $100M at Q1 earnings (Apr 22); reflects stronger demand momentum heading into busy season</w:t>
            </w:r>
          </w:p>
        </w:tc>
      </w:tr>
      <w:tr>
        <w:tc>
          <w:tcPr>
            <w:tcW w:type="dxa" w:w="1728"/>
          </w:tcPr>
          <w:p>
            <w:r>
              <w:rPr>
                <w:rFonts w:ascii="Calibri" w:hAnsi="Calibri"/>
                <w:sz w:val="22"/>
              </w:rPr>
              <w:t>Adjusted EBITDA (FY2026)</w:t>
            </w:r>
          </w:p>
        </w:tc>
        <w:tc>
          <w:tcPr>
            <w:tcW w:type="dxa" w:w="1728"/>
          </w:tcPr>
          <w:p>
            <w:r>
              <w:rPr>
                <w:rFonts w:ascii="Calibri" w:hAnsi="Calibri"/>
                <w:sz w:val="22"/>
              </w:rPr>
              <w:t>$7.575B–$7.825B</w:t>
            </w:r>
          </w:p>
        </w:tc>
        <w:tc>
          <w:tcPr>
            <w:tcW w:type="dxa" w:w="1728"/>
          </w:tcPr>
          <w:p>
            <w:r>
              <w:rPr>
                <w:rFonts w:ascii="Calibri" w:hAnsi="Calibri"/>
                <w:b/>
                <w:color w:val="30A46C"/>
                <w:sz w:val="22"/>
              </w:rPr>
              <w:t>$7.625B–$7.875B</w:t>
            </w:r>
          </w:p>
        </w:tc>
        <w:tc>
          <w:tcPr>
            <w:tcW w:type="dxa" w:w="1728"/>
          </w:tcPr>
          <w:p>
            <w:r>
              <w:rPr>
                <w:rFonts w:ascii="Calibri" w:hAnsi="Calibri"/>
                <w:sz w:val="22"/>
              </w:rPr>
              <w:t>$7.831B</w:t>
            </w:r>
          </w:p>
        </w:tc>
        <w:tc>
          <w:tcPr>
            <w:tcW w:type="dxa" w:w="1728"/>
          </w:tcPr>
          <w:p>
            <w:r>
              <w:rPr>
                <w:rFonts w:ascii="Calibri" w:hAnsi="Calibri"/>
                <w:sz w:val="22"/>
              </w:rPr>
              <w:t>↑ Raised $50M at Q1 earnings; goal remains flat margins YoY (ex-H&amp;E benefit); delivery costs in Q2/Q3 key execution risk</w:t>
            </w:r>
          </w:p>
        </w:tc>
      </w:tr>
      <w:tr>
        <w:tc>
          <w:tcPr>
            <w:tcW w:type="dxa" w:w="1728"/>
          </w:tcPr>
          <w:p>
            <w:r>
              <w:rPr>
                <w:rFonts w:ascii="Calibri" w:hAnsi="Calibri"/>
                <w:sz w:val="22"/>
              </w:rPr>
              <w:t>Gross CapEx (FY2026)</w:t>
            </w:r>
          </w:p>
        </w:tc>
        <w:tc>
          <w:tcPr>
            <w:tcW w:type="dxa" w:w="1728"/>
          </w:tcPr>
          <w:p>
            <w:r>
              <w:rPr>
                <w:rFonts w:ascii="Calibri" w:hAnsi="Calibri"/>
                <w:sz w:val="22"/>
              </w:rPr>
              <w:t>$4.3B–$4.7B</w:t>
            </w:r>
          </w:p>
        </w:tc>
        <w:tc>
          <w:tcPr>
            <w:tcW w:type="dxa" w:w="1728"/>
          </w:tcPr>
          <w:p>
            <w:r>
              <w:rPr>
                <w:rFonts w:ascii="Calibri" w:hAnsi="Calibri"/>
                <w:b/>
                <w:color w:val="30A46C"/>
                <w:sz w:val="22"/>
              </w:rPr>
              <w:t>$4.4B–$4.8B</w:t>
            </w:r>
          </w:p>
        </w:tc>
        <w:tc>
          <w:tcPr>
            <w:tcW w:type="dxa" w:w="1728"/>
          </w:tcPr>
          <w:p>
            <w:r>
              <w:rPr>
                <w:rFonts w:ascii="Calibri" w:hAnsi="Calibri"/>
                <w:sz w:val="22"/>
              </w:rPr>
              <w:t>N/A (FY)</w:t>
            </w:r>
          </w:p>
        </w:tc>
        <w:tc>
          <w:tcPr>
            <w:tcW w:type="dxa" w:w="1728"/>
          </w:tcPr>
          <w:p>
            <w:r>
              <w:rPr>
                <w:rFonts w:ascii="Calibri" w:hAnsi="Calibri"/>
                <w:sz w:val="22"/>
              </w:rPr>
              <w:t>↑ Raised $100M at Q1 earnings; reflects stronger demand; implies net CapEx of $2.95B–$3.35B</w:t>
            </w:r>
          </w:p>
        </w:tc>
      </w:tr>
      <w:tr>
        <w:tc>
          <w:tcPr>
            <w:tcW w:type="dxa" w:w="1728"/>
          </w:tcPr>
          <w:p>
            <w:r>
              <w:rPr>
                <w:rFonts w:ascii="Calibri" w:hAnsi="Calibri"/>
                <w:sz w:val="22"/>
              </w:rPr>
              <w:t>Free Cash Flow (FY2026, ex-restructuring)</w:t>
            </w:r>
          </w:p>
        </w:tc>
        <w:tc>
          <w:tcPr>
            <w:tcW w:type="dxa" w:w="1728"/>
          </w:tcPr>
          <w:p>
            <w:r>
              <w:rPr>
                <w:rFonts w:ascii="Calibri" w:hAnsi="Calibri"/>
                <w:sz w:val="22"/>
              </w:rPr>
              <w:t>$2.15B–$2.45B</w:t>
            </w:r>
          </w:p>
        </w:tc>
        <w:tc>
          <w:tcPr>
            <w:tcW w:type="dxa" w:w="1728"/>
          </w:tcPr>
          <w:p>
            <w:r>
              <w:rPr>
                <w:rFonts w:ascii="Calibri" w:hAnsi="Calibri"/>
                <w:sz w:val="22"/>
              </w:rPr>
              <w:t>$2.15B–$2.45B (unchanged)</w:t>
            </w:r>
          </w:p>
        </w:tc>
        <w:tc>
          <w:tcPr>
            <w:tcW w:type="dxa" w:w="1728"/>
          </w:tcPr>
          <w:p>
            <w:r>
              <w:rPr>
                <w:rFonts w:ascii="Calibri" w:hAnsi="Calibri"/>
                <w:sz w:val="22"/>
              </w:rPr>
              <w:t>$2.287B</w:t>
            </w:r>
          </w:p>
        </w:tc>
        <w:tc>
          <w:tcPr>
            <w:tcW w:type="dxa" w:w="1728"/>
          </w:tcPr>
          <w:p>
            <w:r>
              <w:rPr>
                <w:rFonts w:ascii="Calibri" w:hAnsi="Calibri"/>
                <w:sz w:val="22"/>
              </w:rPr>
              <w:t>Unchanged; higher CapEx offset by higher operating cash flow; ~$2B total shareholder return planned for 2026</w:t>
            </w:r>
          </w:p>
        </w:tc>
      </w:tr>
      <w:tr>
        <w:tc>
          <w:tcPr>
            <w:tcW w:type="dxa" w:w="1728"/>
          </w:tcPr>
          <w:p>
            <w:r>
              <w:rPr>
                <w:rFonts w:ascii="Calibri" w:hAnsi="Calibri"/>
                <w:sz w:val="22"/>
              </w:rPr>
              <w:t>EBITDA Margin (FY2026)</w:t>
            </w:r>
          </w:p>
        </w:tc>
        <w:tc>
          <w:tcPr>
            <w:tcW w:type="dxa" w:w="1728"/>
          </w:tcPr>
          <w:p>
            <w:r>
              <w:rPr>
                <w:rFonts w:ascii="Calibri" w:hAnsi="Calibri"/>
                <w:sz w:val="22"/>
              </w:rPr>
              <w:t>Flat YoY (ex-H&amp;E benefit)</w:t>
            </w:r>
          </w:p>
        </w:tc>
        <w:tc>
          <w:tcPr>
            <w:tcW w:type="dxa" w:w="1728"/>
          </w:tcPr>
          <w:p>
            <w:r>
              <w:rPr>
                <w:rFonts w:ascii="Calibri" w:hAnsi="Calibri"/>
                <w:sz w:val="22"/>
              </w:rPr>
              <w:t>Flat YoY (unchanged goal)</w:t>
            </w:r>
          </w:p>
        </w:tc>
        <w:tc>
          <w:tcPr>
            <w:tcW w:type="dxa" w:w="1728"/>
          </w:tcPr>
          <w:p>
            <w:r>
              <w:rPr>
                <w:rFonts w:ascii="Calibri" w:hAnsi="Calibri"/>
                <w:sz w:val="22"/>
              </w:rPr>
              <w:t>~45.4% (FY)</w:t>
            </w:r>
          </w:p>
        </w:tc>
        <w:tc>
          <w:tcPr>
            <w:tcW w:type="dxa" w:w="1728"/>
          </w:tcPr>
          <w:p>
            <w:r>
              <w:rPr>
                <w:rFonts w:ascii="Calibri" w:hAnsi="Calibri"/>
                <w:sz w:val="22"/>
              </w:rPr>
              <w:t>Delivery cost management in Q2/Q3 is the key risk to achieving flat margins; restructuring savings of $45M–$50M expected to help</w:t>
            </w:r>
          </w:p>
        </w:tc>
      </w:tr>
      <w:tr>
        <w:tc>
          <w:tcPr>
            <w:tcW w:type="dxa" w:w="1728"/>
          </w:tcPr>
          <w:p>
            <w:r>
              <w:rPr>
                <w:rFonts w:ascii="Calibri" w:hAnsi="Calibri"/>
                <w:sz w:val="22"/>
              </w:rPr>
              <w:t>Fleet Productivity (FY2026)</w:t>
            </w:r>
          </w:p>
        </w:tc>
        <w:tc>
          <w:tcPr>
            <w:tcW w:type="dxa" w:w="1728"/>
          </w:tcPr>
          <w:p>
            <w:r>
              <w:rPr>
                <w:rFonts w:ascii="Calibri" w:hAnsi="Calibri"/>
                <w:sz w:val="22"/>
              </w:rPr>
              <w:t>&gt;1.5% (inflation bogey)</w:t>
            </w:r>
          </w:p>
        </w:tc>
        <w:tc>
          <w:tcPr>
            <w:tcW w:type="dxa" w:w="1728"/>
          </w:tcPr>
          <w:p>
            <w:r>
              <w:rPr>
                <w:rFonts w:ascii="Calibri" w:hAnsi="Calibri"/>
                <w:sz w:val="22"/>
              </w:rPr>
              <w:t>&gt;1.5% (unchanged)</w:t>
            </w:r>
          </w:p>
        </w:tc>
        <w:tc>
          <w:tcPr>
            <w:tcW w:type="dxa" w:w="1728"/>
          </w:tcPr>
          <w:p>
            <w:r>
              <w:rPr>
                <w:rFonts w:ascii="Calibri" w:hAnsi="Calibri"/>
                <w:sz w:val="22"/>
              </w:rPr>
              <w:t>~2.98% (FY consensus)</w:t>
            </w:r>
          </w:p>
        </w:tc>
        <w:tc>
          <w:tcPr>
            <w:tcW w:type="dxa" w:w="1728"/>
          </w:tcPr>
          <w:p>
            <w:r>
              <w:rPr>
                <w:rFonts w:ascii="Calibri" w:hAnsi="Calibri"/>
                <w:sz w:val="22"/>
              </w:rPr>
              <w:t>Q1 came in at 2.3%; matting project expected to provide incremental lift in Q2; rate described as 'still a good guy'</w:t>
            </w:r>
          </w:p>
        </w:tc>
      </w:tr>
    </w:tbl>
    <w:p>
      <w:r>
        <w:rPr>
          <w:rFonts w:ascii="Calibri" w:hAnsi="Calibri"/>
          <w:i/>
          <w:color w:val="525866"/>
          <w:sz w:val="22"/>
        </w:rPr>
        <w:t>Sources: URI Q1 2026 Earnings Release (April 22, 2026); URI Q1 2026 Earnings Call Transcript (April 23,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w:t>
      </w:r>
      <w:r>
        <w:rPr>
          <w:rFonts w:ascii="Calibri" w:hAnsi="Calibri"/>
          <w:b/>
          <w:color w:val="525866"/>
          <w:sz w:val="22"/>
        </w:rPr>
        <w:t>stable-to-modestly-rising</w:t>
      </w:r>
      <w:r>
        <w:rPr>
          <w:rFonts w:ascii="Calibri" w:hAnsi="Calibri"/>
          <w:color w:val="525866"/>
          <w:sz w:val="22"/>
        </w:rPr>
        <w:t xml:space="preserve"> since the Q1 earnings print, tracking guidance rather than diverging from it — a constructive setup. The gap between current consensus and guidance midpoints is narrow (~0–1%), suggesting neither a meaningful cushion nor a risk of a guidance-driven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Revenue — Q2 2026</w:t>
            </w:r>
          </w:p>
        </w:tc>
        <w:tc>
          <w:tcPr>
            <w:tcW w:type="dxa" w:w="1080"/>
          </w:tcPr>
          <w:p>
            <w:r>
              <w:rPr>
                <w:rFonts w:ascii="Calibri" w:hAnsi="Calibri"/>
                <w:sz w:val="22"/>
              </w:rPr>
              <w:t>$4.204B</w:t>
            </w:r>
          </w:p>
        </w:tc>
        <w:tc>
          <w:tcPr>
            <w:tcW w:type="dxa" w:w="1080"/>
          </w:tcPr>
          <w:p>
            <w:r>
              <w:rPr>
                <w:rFonts w:ascii="Calibri" w:hAnsi="Calibri"/>
                <w:sz w:val="22"/>
              </w:rPr>
              <w:t>$4.204B</w:t>
            </w:r>
          </w:p>
        </w:tc>
        <w:tc>
          <w:tcPr>
            <w:tcW w:type="dxa" w:w="1080"/>
          </w:tcPr>
          <w:p>
            <w:r>
              <w:rPr>
                <w:rFonts w:ascii="Calibri" w:hAnsi="Calibri"/>
                <w:sz w:val="22"/>
              </w:rPr>
              <w:t>~0.0%</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$17.250B</w:t>
            </w:r>
          </w:p>
        </w:tc>
        <w:tc>
          <w:tcPr>
            <w:tcW w:type="dxa" w:w="1080"/>
          </w:tcPr>
          <w:p>
            <w:r>
              <w:rPr>
                <w:rFonts w:ascii="Calibri" w:hAnsi="Calibri"/>
                <w:sz w:val="22"/>
              </w:rPr>
              <w:t>$17.243B</w:t>
            </w:r>
          </w:p>
        </w:tc>
        <w:tc>
          <w:tcPr>
            <w:tcW w:type="dxa" w:w="1080"/>
          </w:tcPr>
          <w:p>
            <w:r>
              <w:rPr>
                <w:rFonts w:ascii="Calibri" w:hAnsi="Calibri"/>
                <w:sz w:val="22"/>
              </w:rPr>
              <w:t>-0.04%</w:t>
            </w:r>
          </w:p>
        </w:tc>
        <w:tc>
          <w:tcPr>
            <w:tcW w:type="dxa" w:w="1080"/>
          </w:tcPr>
          <w:p>
            <w:r>
              <w:rPr>
                <w:rFonts w:ascii="Calibri" w:hAnsi="Calibri"/>
                <w:sz w:val="22"/>
              </w:rPr>
              <w:t>$16.8B–$17.3B</w:t>
            </w:r>
          </w:p>
        </w:tc>
        <w:tc>
          <w:tcPr>
            <w:tcW w:type="dxa" w:w="1080"/>
          </w:tcPr>
          <w:p>
            <w:r>
              <w:rPr>
                <w:rFonts w:ascii="Calibri" w:hAnsi="Calibri"/>
                <w:sz w:val="22"/>
              </w:rPr>
              <w:t>$16.9B–$17.4B</w:t>
            </w:r>
          </w:p>
        </w:tc>
        <w:tc>
          <w:tcPr>
            <w:tcW w:type="dxa" w:w="1080"/>
          </w:tcPr>
          <w:p>
            <w:r>
              <w:rPr>
                <w:rFonts w:ascii="Calibri" w:hAnsi="Calibri"/>
                <w:sz w:val="22"/>
              </w:rPr>
              <w:t>+$100M</w:t>
            </w:r>
          </w:p>
        </w:tc>
        <w:tc>
          <w:tcPr>
            <w:tcW w:type="dxa" w:w="1080"/>
          </w:tcPr>
          <w:p>
            <w:r>
              <w:rPr>
                <w:rFonts w:ascii="Calibri" w:hAnsi="Calibri"/>
                <w:sz w:val="22"/>
              </w:rPr>
              <w:t>+0.1% vs. $17.15B midpoint</w:t>
            </w:r>
          </w:p>
        </w:tc>
      </w:tr>
      <w:tr>
        <w:tc>
          <w:tcPr>
            <w:tcW w:type="dxa" w:w="1080"/>
          </w:tcPr>
          <w:p>
            <w:r>
              <w:rPr>
                <w:rFonts w:ascii="Calibri" w:hAnsi="Calibri"/>
                <w:sz w:val="22"/>
              </w:rPr>
              <w:t>Adj. EBITDA — Q2 2026</w:t>
            </w:r>
          </w:p>
        </w:tc>
        <w:tc>
          <w:tcPr>
            <w:tcW w:type="dxa" w:w="1080"/>
          </w:tcPr>
          <w:p>
            <w:r>
              <w:rPr>
                <w:rFonts w:ascii="Calibri" w:hAnsi="Calibri"/>
                <w:sz w:val="22"/>
              </w:rPr>
              <w:t>$1.916B</w:t>
            </w:r>
          </w:p>
        </w:tc>
        <w:tc>
          <w:tcPr>
            <w:tcW w:type="dxa" w:w="1080"/>
          </w:tcPr>
          <w:p>
            <w:r>
              <w:rPr>
                <w:rFonts w:ascii="Calibri" w:hAnsi="Calibri"/>
                <w:sz w:val="22"/>
              </w:rPr>
              <w:t>$1.915B</w:t>
            </w:r>
          </w:p>
        </w:tc>
        <w:tc>
          <w:tcPr>
            <w:tcW w:type="dxa" w:w="1080"/>
          </w:tcPr>
          <w:p>
            <w:r>
              <w:rPr>
                <w:rFonts w:ascii="Calibri" w:hAnsi="Calibri"/>
                <w:sz w:val="22"/>
              </w:rPr>
              <w:t>-0.05%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$7.831B</w:t>
            </w:r>
          </w:p>
        </w:tc>
        <w:tc>
          <w:tcPr>
            <w:tcW w:type="dxa" w:w="1080"/>
          </w:tcPr>
          <w:p>
            <w:r>
              <w:rPr>
                <w:rFonts w:ascii="Calibri" w:hAnsi="Calibri"/>
                <w:sz w:val="22"/>
              </w:rPr>
              <w:t>$7.831B</w:t>
            </w:r>
          </w:p>
        </w:tc>
        <w:tc>
          <w:tcPr>
            <w:tcW w:type="dxa" w:w="1080"/>
          </w:tcPr>
          <w:p>
            <w:r>
              <w:rPr>
                <w:rFonts w:ascii="Calibri" w:hAnsi="Calibri"/>
                <w:sz w:val="22"/>
              </w:rPr>
              <w:t>~0.0%</w:t>
            </w:r>
          </w:p>
        </w:tc>
        <w:tc>
          <w:tcPr>
            <w:tcW w:type="dxa" w:w="1080"/>
          </w:tcPr>
          <w:p>
            <w:r>
              <w:rPr>
                <w:rFonts w:ascii="Calibri" w:hAnsi="Calibri"/>
                <w:sz w:val="22"/>
              </w:rPr>
              <w:t>$7.575B–$7.825B</w:t>
            </w:r>
          </w:p>
        </w:tc>
        <w:tc>
          <w:tcPr>
            <w:tcW w:type="dxa" w:w="1080"/>
          </w:tcPr>
          <w:p>
            <w:r>
              <w:rPr>
                <w:rFonts w:ascii="Calibri" w:hAnsi="Calibri"/>
                <w:sz w:val="22"/>
              </w:rPr>
              <w:t>$7.625B–$7.875B</w:t>
            </w:r>
          </w:p>
        </w:tc>
        <w:tc>
          <w:tcPr>
            <w:tcW w:type="dxa" w:w="1080"/>
          </w:tcPr>
          <w:p>
            <w:r>
              <w:rPr>
                <w:rFonts w:ascii="Calibri" w:hAnsi="Calibri"/>
                <w:sz w:val="22"/>
              </w:rPr>
              <w:t>+$50M</w:t>
            </w:r>
          </w:p>
        </w:tc>
        <w:tc>
          <w:tcPr>
            <w:tcW w:type="dxa" w:w="1080"/>
          </w:tcPr>
          <w:p>
            <w:r>
              <w:rPr>
                <w:rFonts w:ascii="Calibri" w:hAnsi="Calibri"/>
                <w:sz w:val="22"/>
              </w:rPr>
              <w:t>+0.1% vs. $7.75B midpoint</w:t>
            </w:r>
          </w:p>
        </w:tc>
      </w:tr>
      <w:tr>
        <w:tc>
          <w:tcPr>
            <w:tcW w:type="dxa" w:w="1080"/>
          </w:tcPr>
          <w:p>
            <w:r>
              <w:rPr>
                <w:rFonts w:ascii="Calibri" w:hAnsi="Calibri"/>
                <w:sz w:val="22"/>
              </w:rPr>
              <w:t>Adj. EPS — Q2 2026</w:t>
            </w:r>
          </w:p>
        </w:tc>
        <w:tc>
          <w:tcPr>
            <w:tcW w:type="dxa" w:w="1080"/>
          </w:tcPr>
          <w:p>
            <w:r>
              <w:rPr>
                <w:rFonts w:ascii="Calibri" w:hAnsi="Calibri"/>
                <w:sz w:val="22"/>
              </w:rPr>
              <w:t>$11.26</w:t>
            </w:r>
          </w:p>
        </w:tc>
        <w:tc>
          <w:tcPr>
            <w:tcW w:type="dxa" w:w="1080"/>
          </w:tcPr>
          <w:p>
            <w:r>
              <w:rPr>
                <w:rFonts w:ascii="Calibri" w:hAnsi="Calibri"/>
                <w:sz w:val="22"/>
              </w:rPr>
              <w:t>$11.26</w:t>
            </w:r>
          </w:p>
        </w:tc>
        <w:tc>
          <w:tcPr>
            <w:tcW w:type="dxa" w:w="1080"/>
          </w:tcPr>
          <w:p>
            <w:r>
              <w:rPr>
                <w:rFonts w:ascii="Calibri" w:hAnsi="Calibri"/>
                <w:sz w:val="22"/>
              </w:rPr>
              <w:t>~0.0%</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$44.78</w:t>
            </w:r>
          </w:p>
        </w:tc>
        <w:tc>
          <w:tcPr>
            <w:tcW w:type="dxa" w:w="1080"/>
          </w:tcPr>
          <w:p>
            <w:r>
              <w:rPr>
                <w:rFonts w:ascii="Calibri" w:hAnsi="Calibri"/>
                <w:sz w:val="22"/>
              </w:rPr>
              <w:t>$45.17</w:t>
            </w:r>
          </w:p>
        </w:tc>
        <w:tc>
          <w:tcPr>
            <w:tcW w:type="dxa" w:w="1080"/>
          </w:tcPr>
          <w:p>
            <w:r>
              <w:rPr>
                <w:rFonts w:ascii="Calibri" w:hAnsi="Calibri"/>
                <w:sz w:val="22"/>
              </w:rPr>
              <w:t>+0.9%</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Fleet Productivity — Q2 2026</w:t>
            </w:r>
          </w:p>
        </w:tc>
        <w:tc>
          <w:tcPr>
            <w:tcW w:type="dxa" w:w="1080"/>
          </w:tcPr>
          <w:p>
            <w:r>
              <w:rPr>
                <w:rFonts w:ascii="Calibri" w:hAnsi="Calibri"/>
                <w:sz w:val="22"/>
              </w:rPr>
              <w:t>~2.20%</w:t>
            </w:r>
          </w:p>
        </w:tc>
        <w:tc>
          <w:tcPr>
            <w:tcW w:type="dxa" w:w="1080"/>
          </w:tcPr>
          <w:p>
            <w:r>
              <w:rPr>
                <w:rFonts w:ascii="Calibri" w:hAnsi="Calibri"/>
                <w:sz w:val="22"/>
              </w:rPr>
              <w:t>~2.02%</w:t>
            </w:r>
          </w:p>
        </w:tc>
        <w:tc>
          <w:tcPr>
            <w:tcW w:type="dxa" w:w="1080"/>
          </w:tcPr>
          <w:p>
            <w:r>
              <w:rPr>
                <w:rFonts w:ascii="Calibri" w:hAnsi="Calibri"/>
                <w:sz w:val="22"/>
              </w:rPr>
              <w:t>-0.18 ppts</w:t>
            </w:r>
          </w:p>
        </w:tc>
        <w:tc>
          <w:tcPr>
            <w:tcW w:type="dxa" w:w="1080"/>
          </w:tcPr>
          <w:p>
            <w:r>
              <w:rPr>
                <w:rFonts w:ascii="Calibri" w:hAnsi="Calibri"/>
                <w:sz w:val="22"/>
              </w:rPr>
              <w:t>&gt;1.5% (bogey)</w:t>
            </w:r>
          </w:p>
        </w:tc>
        <w:tc>
          <w:tcPr>
            <w:tcW w:type="dxa" w:w="1080"/>
          </w:tcPr>
          <w:p>
            <w:r>
              <w:rPr>
                <w:rFonts w:ascii="Calibri" w:hAnsi="Calibri"/>
                <w:sz w:val="22"/>
              </w:rPr>
              <w:t>&gt;1.5% (bogey)</w:t>
            </w:r>
          </w:p>
        </w:tc>
        <w:tc>
          <w:tcPr>
            <w:tcW w:type="dxa" w:w="1080"/>
          </w:tcPr>
          <w:p>
            <w:r>
              <w:rPr>
                <w:rFonts w:ascii="Calibri" w:hAnsi="Calibri"/>
                <w:sz w:val="22"/>
              </w:rPr>
              <w:t>Unchanged</w:t>
            </w:r>
          </w:p>
        </w:tc>
        <w:tc>
          <w:tcPr>
            <w:tcW w:type="dxa" w:w="1080"/>
          </w:tcPr>
          <w:p>
            <w:r>
              <w:rPr>
                <w:rFonts w:ascii="Calibri" w:hAnsi="Calibri"/>
                <w:sz w:val="22"/>
              </w:rPr>
              <w:t>+52 bps above bogey</w:t>
            </w:r>
          </w:p>
        </w:tc>
      </w:tr>
    </w:tbl>
    <w:p>
      <w:r>
        <w:rPr>
          <w:rFonts w:ascii="Calibri" w:hAnsi="Calibri"/>
          <w:i/>
          <w:color w:val="525866"/>
          <w:sz w:val="22"/>
        </w:rPr>
        <w:t>Estimates have been remarkably stable since the Q1 print, with FY2026 EPS the only metric showing a meaningful upward drift (+0.9%), likely reflecting buyback accretion from the $1.5B repurchase program. The narrow consensus-vs.-guidance gap on revenue and EBITDA means the Q2 print itself — not guidance revision — will be the primary catalyst.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URI's +26% rally from the Q1 earnings date (April 22) to its June 30 peak was driven primarily by </w:t>
      </w:r>
      <w:r>
        <w:rPr>
          <w:rFonts w:ascii="Calibri" w:hAnsi="Calibri"/>
          <w:b/>
          <w:color w:val="525866"/>
          <w:sz w:val="22"/>
        </w:rPr>
        <w:t>multiple re-rating</w:t>
      </w:r>
      <w:r>
        <w:rPr>
          <w:rFonts w:ascii="Calibri" w:hAnsi="Calibri"/>
          <w:color w:val="525866"/>
          <w:sz w:val="22"/>
        </w:rPr>
        <w:t xml:space="preserve"> (+17% EV/EBITDA expansion over 3 months) rather than estimate revisions, which were flat — the stock has since pulled back ~10% to ~$1,014, partially unwinding the multiple expansion and creating a more balanced entry point ahead of Q2.</w:t>
      </w:r>
    </w:p>
    <w:p>
      <w:r>
        <w:rPr>
          <w:rFonts w:ascii="Calibri" w:hAnsi="Calibri"/>
          <w:b/>
          <w:color w:val="525866"/>
          <w:sz w:val="22"/>
        </w:rPr>
        <w:t>Performance Summary (Since Q1 2026 Earnings, April 22, 2026 — Indexed to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URI (Indexed)</w:t>
            </w:r>
          </w:p>
        </w:tc>
        <w:tc>
          <w:tcPr>
            <w:tcW w:type="dxa" w:w="1728"/>
            <w:shd w:val="clear" w:color="auto" w:fill="3B4259"/>
          </w:tcPr>
          <w:p>
            <w:r>
              <w:rPr>
                <w:rFonts w:ascii="Calibri" w:hAnsi="Calibri"/>
                <w:b/>
                <w:color w:val="FFFFFF"/>
                <w:sz w:val="22"/>
              </w:rPr>
              <w:t>XLI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URI Price</w:t>
            </w:r>
          </w:p>
        </w:tc>
      </w:tr>
      <w:tr>
        <w:tc>
          <w:tcPr>
            <w:tcW w:type="dxa" w:w="1728"/>
          </w:tcPr>
          <w:p>
            <w:r>
              <w:rPr>
                <w:rFonts w:ascii="Calibri" w:hAnsi="Calibri"/>
                <w:sz w:val="22"/>
              </w:rPr>
              <w:t>Apr 22, 2026 (Q1 Earnings Day)</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$802.79</w:t>
            </w:r>
          </w:p>
        </w:tc>
      </w:tr>
      <w:tr>
        <w:tc>
          <w:tcPr>
            <w:tcW w:type="dxa" w:w="1728"/>
          </w:tcPr>
          <w:p>
            <w:r>
              <w:rPr>
                <w:rFonts w:ascii="Calibri" w:hAnsi="Calibri"/>
                <w:sz w:val="22"/>
              </w:rPr>
              <w:t>Apr 23, 2026 (Post-Earnings)</w:t>
            </w:r>
          </w:p>
        </w:tc>
        <w:tc>
          <w:tcPr>
            <w:tcW w:type="dxa" w:w="1728"/>
          </w:tcPr>
          <w:p>
            <w:r>
              <w:rPr>
                <w:rFonts w:ascii="Calibri" w:hAnsi="Calibri"/>
                <w:sz w:val="22"/>
              </w:rPr>
              <w:t>122.9</w:t>
            </w:r>
          </w:p>
        </w:tc>
        <w:tc>
          <w:tcPr>
            <w:tcW w:type="dxa" w:w="1728"/>
          </w:tcPr>
          <w:p>
            <w:r>
              <w:rPr>
                <w:rFonts w:ascii="Calibri" w:hAnsi="Calibri"/>
                <w:sz w:val="22"/>
              </w:rPr>
              <w:t>101.8</w:t>
            </w:r>
          </w:p>
        </w:tc>
        <w:tc>
          <w:tcPr>
            <w:tcW w:type="dxa" w:w="1728"/>
          </w:tcPr>
          <w:p>
            <w:r>
              <w:rPr>
                <w:rFonts w:ascii="Calibri" w:hAnsi="Calibri"/>
                <w:sz w:val="22"/>
              </w:rPr>
              <w:t>99.6</w:t>
            </w:r>
          </w:p>
        </w:tc>
        <w:tc>
          <w:tcPr>
            <w:tcW w:type="dxa" w:w="1728"/>
          </w:tcPr>
          <w:p>
            <w:r>
              <w:rPr>
                <w:rFonts w:ascii="Calibri" w:hAnsi="Calibri"/>
                <w:sz w:val="22"/>
              </w:rPr>
              <w:t>$986.78</w:t>
            </w:r>
          </w:p>
        </w:tc>
      </w:tr>
      <w:tr>
        <w:tc>
          <w:tcPr>
            <w:tcW w:type="dxa" w:w="1728"/>
          </w:tcPr>
          <w:p>
            <w:r>
              <w:rPr>
                <w:rFonts w:ascii="Calibri" w:hAnsi="Calibri"/>
                <w:sz w:val="22"/>
              </w:rPr>
              <w:t>May 29, 2026</w:t>
            </w:r>
          </w:p>
        </w:tc>
        <w:tc>
          <w:tcPr>
            <w:tcW w:type="dxa" w:w="1728"/>
          </w:tcPr>
          <w:p>
            <w:r>
              <w:rPr>
                <w:rFonts w:ascii="Calibri" w:hAnsi="Calibri"/>
                <w:sz w:val="22"/>
              </w:rPr>
              <w:t>124.0</w:t>
            </w:r>
          </w:p>
        </w:tc>
        <w:tc>
          <w:tcPr>
            <w:tcW w:type="dxa" w:w="1728"/>
          </w:tcPr>
          <w:p>
            <w:r>
              <w:rPr>
                <w:rFonts w:ascii="Calibri" w:hAnsi="Calibri"/>
                <w:sz w:val="22"/>
              </w:rPr>
              <w:t>101.2</w:t>
            </w:r>
          </w:p>
        </w:tc>
        <w:tc>
          <w:tcPr>
            <w:tcW w:type="dxa" w:w="1728"/>
          </w:tcPr>
          <w:p>
            <w:r>
              <w:rPr>
                <w:rFonts w:ascii="Calibri" w:hAnsi="Calibri"/>
                <w:sz w:val="22"/>
              </w:rPr>
              <w:t>106.4</w:t>
            </w:r>
          </w:p>
        </w:tc>
        <w:tc>
          <w:tcPr>
            <w:tcW w:type="dxa" w:w="1728"/>
          </w:tcPr>
          <w:p>
            <w:r>
              <w:rPr>
                <w:rFonts w:ascii="Calibri" w:hAnsi="Calibri"/>
                <w:sz w:val="22"/>
              </w:rPr>
              <w:t>$995.67</w:t>
            </w:r>
          </w:p>
        </w:tc>
      </w:tr>
      <w:tr>
        <w:tc>
          <w:tcPr>
            <w:tcW w:type="dxa" w:w="1728"/>
          </w:tcPr>
          <w:p>
            <w:r>
              <w:rPr>
                <w:rFonts w:ascii="Calibri" w:hAnsi="Calibri"/>
                <w:sz w:val="22"/>
              </w:rPr>
              <w:t>Jun 30, 2026 (Peak)</w:t>
            </w:r>
          </w:p>
        </w:tc>
        <w:tc>
          <w:tcPr>
            <w:tcW w:type="dxa" w:w="1728"/>
          </w:tcPr>
          <w:p>
            <w:r>
              <w:rPr>
                <w:rFonts w:ascii="Calibri" w:hAnsi="Calibri"/>
                <w:sz w:val="22"/>
              </w:rPr>
              <w:t>141.1</w:t>
            </w:r>
          </w:p>
        </w:tc>
        <w:tc>
          <w:tcPr>
            <w:tcW w:type="dxa" w:w="1728"/>
          </w:tcPr>
          <w:p>
            <w:r>
              <w:rPr>
                <w:rFonts w:ascii="Calibri" w:hAnsi="Calibri"/>
                <w:sz w:val="22"/>
              </w:rPr>
              <w:t>108.3</w:t>
            </w:r>
          </w:p>
        </w:tc>
        <w:tc>
          <w:tcPr>
            <w:tcW w:type="dxa" w:w="1728"/>
          </w:tcPr>
          <w:p>
            <w:r>
              <w:rPr>
                <w:rFonts w:ascii="Calibri" w:hAnsi="Calibri"/>
                <w:sz w:val="22"/>
              </w:rPr>
              <w:t>105.0</w:t>
            </w:r>
          </w:p>
        </w:tc>
        <w:tc>
          <w:tcPr>
            <w:tcW w:type="dxa" w:w="1728"/>
          </w:tcPr>
          <w:p>
            <w:r>
              <w:rPr>
                <w:rFonts w:ascii="Calibri" w:hAnsi="Calibri"/>
                <w:sz w:val="22"/>
              </w:rPr>
              <w:t>$1,132.89</w:t>
            </w:r>
          </w:p>
        </w:tc>
      </w:tr>
      <w:tr>
        <w:tc>
          <w:tcPr>
            <w:tcW w:type="dxa" w:w="1728"/>
          </w:tcPr>
          <w:p>
            <w:r>
              <w:rPr>
                <w:rFonts w:ascii="Calibri" w:hAnsi="Calibri"/>
                <w:sz w:val="22"/>
              </w:rPr>
              <w:t>Jul 22, 2026 (Latest)</w:t>
            </w:r>
          </w:p>
        </w:tc>
        <w:tc>
          <w:tcPr>
            <w:tcW w:type="dxa" w:w="1728"/>
          </w:tcPr>
          <w:p>
            <w:r>
              <w:rPr>
                <w:rFonts w:ascii="Calibri" w:hAnsi="Calibri"/>
                <w:sz w:val="22"/>
              </w:rPr>
              <w:t>126.2</w:t>
            </w:r>
          </w:p>
        </w:tc>
        <w:tc>
          <w:tcPr>
            <w:tcW w:type="dxa" w:w="1728"/>
          </w:tcPr>
          <w:p>
            <w:r>
              <w:rPr>
                <w:rFonts w:ascii="Calibri" w:hAnsi="Calibri"/>
                <w:sz w:val="22"/>
              </w:rPr>
              <w:t>104.5</w:t>
            </w:r>
          </w:p>
        </w:tc>
        <w:tc>
          <w:tcPr>
            <w:tcW w:type="dxa" w:w="1728"/>
          </w:tcPr>
          <w:p>
            <w:r>
              <w:rPr>
                <w:rFonts w:ascii="Calibri" w:hAnsi="Calibri"/>
                <w:sz w:val="22"/>
              </w:rPr>
              <w:t>105.2</w:t>
            </w:r>
          </w:p>
        </w:tc>
        <w:tc>
          <w:tcPr>
            <w:tcW w:type="dxa" w:w="1728"/>
          </w:tcPr>
          <w:p>
            <w:r>
              <w:rPr>
                <w:rFonts w:ascii="Calibri" w:hAnsi="Calibri"/>
                <w:sz w:val="22"/>
              </w:rPr>
              <w:t>$1,013.54</w:t>
            </w:r>
          </w:p>
        </w:tc>
      </w:tr>
    </w:tbl>
    <w:p>
      <w:r>
        <w:rPr>
          <w:rFonts w:ascii="Calibri" w:hAnsi="Calibri"/>
          <w:i/>
          <w:color w:val="525866"/>
          <w:sz w:val="22"/>
        </w:rPr>
        <w:t>Sector ETF: XLI (iShares U.S. Industrials ETF) — appropriate for URI's sub-sector (industrial equipment rental/services). Source: Yahoo Finance / Stock Price Data.</w:t>
      </w:r>
    </w:p>
    <w:p>
      <w:r>
        <w:rPr>
          <w:rFonts w:ascii="Calibri" w:hAnsi="Calibri"/>
          <w:b/>
          <w:color w:val="525866"/>
          <w:sz w:val="22"/>
        </w:rPr>
        <w:t>Performance Decomposition (EV/EBITDA, NTM):</w:t>
      </w:r>
      <w:r>
        <w:rPr>
          <w:rFonts w:ascii="Calibri" w:hAnsi="Calibri"/>
          <w:color w:val="525866"/>
          <w:sz w:val="22"/>
        </w:rPr>
        <w:t xml:space="preserve"> Over the 3-month window since Q1 earnings, URI's NTM EV/EBITDA expanded from ~8.1x to ~9.5x (+17.0%), accounting for the majority of the +24.8% price gain over that period — estimate revisions contributed only marginally. Over the trailing 1 month, the stock is down -5.9% with the multiple contracting -3.6% to 9.45x, suggesting the market is taking some risk off ahead of the print. The current 9.45x NTM EV/EBITDA is above the 12-month trailing average of ~8.8x but below the 10-year historical average premium, leaving room for further re-rating if Q2 delivers another beat-and-raise. Source: Stock Performance Decomposition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matting project mobilization</w:t>
      </w:r>
      <w:r>
        <w:rPr>
          <w:rFonts w:ascii="Calibri" w:hAnsi="Calibri"/>
          <w:color w:val="525866"/>
          <w:sz w:val="22"/>
        </w:rPr>
        <w:t xml:space="preserve"> confirmed on the Q1 call — assets have been delivered and the project is expected to fully kick off in Q2, providing an incremental fleet productivity tailwind not present in Q1. No negative pre-announcements or guidance cuts have been filed.</w:t>
      </w:r>
    </w:p>
    <w:p>
      <w:pPr>
        <w:pStyle w:val="ListBullet"/>
        <w:ind w:left="360" w:hanging="360"/>
      </w:pPr>
      <w:r>
        <w:rPr>
          <w:rFonts w:ascii="Calibri" w:hAnsi="Calibri"/>
          <w:b/>
          <w:color w:val="525866"/>
          <w:sz w:val="22"/>
        </w:rPr>
        <w:t>April 22–23, 2026 — Q1 2026 Earnings Beat &amp; Guidance Raise:</w:t>
      </w:r>
      <w:r>
        <w:rPr>
          <w:rFonts w:ascii="Calibri" w:hAnsi="Calibri"/>
          <w:color w:val="525866"/>
          <w:sz w:val="22"/>
        </w:rPr>
        <w:t xml:space="preserve"> URI reported record Q1 revenue ($3.985B, +2.4% vs. consensus), EBITDA ($1.759B, +4.4% vs. consensus), and EPS. Full-year revenue guidance raised $100M to $16.9B–$17.4B; EBITDA raised $50M to $7.625B–$7.875B. Stock surged ~22.9% on April 23. CEO Flannery: 'The momentum we’re carrying into our busy season...supports our expectations that this will be another record year.' </w:t>
      </w:r>
    </w:p>
    <w:p>
      <w:pPr>
        <w:pStyle w:val="ListBullet"/>
        <w:ind w:left="360" w:hanging="360"/>
      </w:pPr>
      <w:r>
        <w:rPr>
          <w:rFonts w:ascii="Calibri" w:hAnsi="Calibri"/>
          <w:b/>
          <w:color w:val="525866"/>
          <w:sz w:val="22"/>
        </w:rPr>
        <w:t>April 22, 2026 — Matting Project Mobilization Confirmed:</w:t>
      </w:r>
      <w:r>
        <w:rPr>
          <w:rFonts w:ascii="Calibri" w:hAnsi="Calibri"/>
          <w:color w:val="525866"/>
          <w:sz w:val="22"/>
        </w:rPr>
        <w:t xml:space="preserve"> On the Q1 call, management confirmed the large matting project (deferred from Q4 2025) has been mobilized with assets delivered, but had not fully kicked off as of Q1 end. Management stated: 'ended up it will be 2Q.' This is a key incremental tailwind for Q2 fleet productivity that was not present in Q1's 2.3% result. </w:t>
      </w:r>
    </w:p>
    <w:p>
      <w:pPr>
        <w:pStyle w:val="ListBullet"/>
        <w:ind w:left="360" w:hanging="360"/>
      </w:pPr>
      <w:r>
        <w:rPr>
          <w:rFonts w:ascii="Calibri" w:hAnsi="Calibri"/>
          <w:b/>
          <w:color w:val="525866"/>
          <w:sz w:val="22"/>
        </w:rPr>
        <w:t>April 22, 2026 — Restructuring Program Update:</w:t>
      </w:r>
      <w:r>
        <w:rPr>
          <w:rFonts w:ascii="Calibri" w:hAnsi="Calibri"/>
          <w:color w:val="525866"/>
          <w:sz w:val="22"/>
        </w:rPr>
        <w:t xml:space="preserve"> URI recorded $45M in Q1 restructuring charges (branch consolidations, headcount reductions). Full-year restructuring charges guided to $55M–$65M, with expected net savings of $45M–$50M for the full year. This cost discipline is a margin tailwind for Q2 and beyond. </w:t>
      </w:r>
    </w:p>
    <w:p>
      <w:pPr>
        <w:pStyle w:val="ListBullet"/>
        <w:ind w:left="360" w:hanging="360"/>
      </w:pPr>
      <w:r>
        <w:rPr>
          <w:rFonts w:ascii="Calibri" w:hAnsi="Calibri"/>
          <w:b/>
          <w:color w:val="525866"/>
          <w:sz w:val="22"/>
        </w:rPr>
        <w:t>April 22, 2026 — Gross CapEx Guidance Raised:</w:t>
      </w:r>
      <w:r>
        <w:rPr>
          <w:rFonts w:ascii="Calibri" w:hAnsi="Calibri"/>
          <w:color w:val="525866"/>
          <w:sz w:val="22"/>
        </w:rPr>
        <w:t xml:space="preserve"> Gross CapEx guidance raised $100M to $4.4B–$4.8B, reflecting stronger demand. Q1 gross rental CapEx was $874M (~19% of full-year midpoint), in line with historical Q1 levels. Implies continued fleet investment through the busy season. </w:t>
      </w:r>
    </w:p>
    <w:p>
      <w:pPr>
        <w:pStyle w:val="ListBullet"/>
        <w:ind w:left="360" w:hanging="360"/>
      </w:pPr>
      <w:r>
        <w:rPr>
          <w:rFonts w:ascii="Calibri" w:hAnsi="Calibri"/>
          <w:b/>
          <w:color w:val="525866"/>
          <w:sz w:val="22"/>
        </w:rPr>
        <w:t>June 18, 2026 — Receivables Facility Amendment (8-K):</w:t>
      </w:r>
      <w:r>
        <w:rPr>
          <w:rFonts w:ascii="Calibri" w:hAnsi="Calibri"/>
          <w:color w:val="525866"/>
          <w:sz w:val="22"/>
        </w:rPr>
        <w:t xml:space="preserve"> URI filed an 8-K disclosing Amendment No. 18 to its Third Amended and Restated Receivables Purchase Agreement. The amendment extended the expiration date of the A/R facility from its prior date to </w:t>
      </w:r>
      <w:r>
        <w:rPr>
          <w:rFonts w:ascii="Calibri" w:hAnsi="Calibri"/>
          <w:b/>
          <w:color w:val="525866"/>
          <w:sz w:val="22"/>
        </w:rPr>
        <w:t>June 18, 2027</w:t>
      </w:r>
      <w:r>
        <w:rPr>
          <w:rFonts w:ascii="Calibri" w:hAnsi="Calibri"/>
          <w:color w:val="525866"/>
          <w:sz w:val="22"/>
        </w:rPr>
        <w:t xml:space="preserve"> (effective date: June 18, 2026; disclosure/filing date: June 18, 2026). The facility may be further extended on a 364-day basis by mutual agreement. Accounting treatment unchanged — advances remain on-balance-sheet debt. </w:t>
      </w:r>
    </w:p>
    <w:p>
      <w:pPr>
        <w:pStyle w:val="ListBullet"/>
        <w:ind w:left="360" w:hanging="360"/>
      </w:pPr>
      <w:r>
        <w:rPr>
          <w:rFonts w:ascii="Calibri" w:hAnsi="Calibri"/>
          <w:i/>
          <w:color w:val="525866"/>
          <w:sz w:val="22"/>
        </w:rPr>
        <w:t>Implication:</w:t>
      </w:r>
      <w:r>
        <w:rPr>
          <w:rFonts w:ascii="Calibri" w:hAnsi="Calibri"/>
          <w:color w:val="525866"/>
          <w:sz w:val="22"/>
        </w:rPr>
        <w:t xml:space="preserve"> Routine liquidity management; no change to financial profile or guidance. Confirms URI's continued access to its receivables-backed financing at favorable terms, supporting the $2B shareholder return program.</w:t>
      </w:r>
    </w:p>
    <w:p>
      <w:pPr>
        <w:pStyle w:val="ListBullet"/>
        <w:ind w:left="360" w:hanging="360"/>
      </w:pPr>
      <w:r>
        <w:rPr>
          <w:rFonts w:ascii="Calibri" w:hAnsi="Calibri"/>
          <w:b/>
          <w:color w:val="525866"/>
          <w:sz w:val="22"/>
        </w:rPr>
        <w:t>April 2026 — Tariff Risk Dismissed by Management:</w:t>
      </w:r>
      <w:r>
        <w:rPr>
          <w:rFonts w:ascii="Calibri" w:hAnsi="Calibri"/>
          <w:color w:val="525866"/>
          <w:sz w:val="22"/>
        </w:rPr>
        <w:t xml:space="preserve"> On the Q1 call, management was notably dismissive of near-term tariff risk, citing locked-in annual supplier pricing and contractual flexibility to flex fleet orders. Fuel cost risk acknowledged but characterized as manageable through pass-through mechanisms and an active hedging program. </w:t>
      </w:r>
    </w:p>
    <w:p>
      <w:pPr>
        <w:pStyle w:val="ListBullet"/>
        <w:ind w:left="360" w:hanging="360"/>
      </w:pPr>
      <w:r>
        <w:rPr>
          <w:rFonts w:ascii="Calibri" w:hAnsi="Calibri"/>
          <w:b/>
          <w:color w:val="525866"/>
          <w:sz w:val="22"/>
        </w:rPr>
        <w:t>July 2026 — Canada Tariff Escalation (Macro Risk):</w:t>
      </w:r>
      <w:r>
        <w:rPr>
          <w:rFonts w:ascii="Calibri" w:hAnsi="Calibri"/>
          <w:color w:val="525866"/>
          <w:sz w:val="22"/>
        </w:rPr>
        <w:t xml:space="preserve"> President Trump threatened 50% tariffs on Canadian goods effective August 19 (announced July 20–21, 2026). URI has Canadian operations; however, management's prior commentary on tariff flexibility and locked-in supplier pricing suggests limited near-term direct impact. Indirect risk via construction activity slowdown in border regions is a watch item. </w:t>
      </w:r>
    </w:p>
    <w:p>
      <w:pPr>
        <w:pStyle w:val="ListBullet"/>
        <w:ind w:left="360" w:hanging="360"/>
      </w:pPr>
      <w:r>
        <w:rPr>
          <w:rFonts w:ascii="Calibri" w:hAnsi="Calibri"/>
          <w:b/>
          <w:color w:val="525866"/>
          <w:sz w:val="22"/>
        </w:rPr>
        <w:t>July 2026 — Industrials Sector Sentiment Positive:</w:t>
      </w:r>
      <w:r>
        <w:rPr>
          <w:rFonts w:ascii="Calibri" w:hAnsi="Calibri"/>
          <w:color w:val="525866"/>
          <w:sz w:val="22"/>
        </w:rPr>
        <w:t xml:space="preserve"> RBC Capital Markets' June survey of global analysts found materials and industrials outlooks stronger than other sectors. 3M (MMM) reported a strong Q2 beat on July 21 with 5.4% organic sales growth and raised full-year guidance, signaling broad industrial demand resilience.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All post-Q1 insider activity consists of </w:t>
      </w:r>
      <w:r>
        <w:rPr>
          <w:rFonts w:ascii="Calibri" w:hAnsi="Calibri"/>
          <w:b/>
          <w:color w:val="525866"/>
          <w:sz w:val="22"/>
        </w:rPr>
        <w:t>open-market sales only</w:t>
      </w:r>
      <w:r>
        <w:rPr>
          <w:rFonts w:ascii="Calibri" w:hAnsi="Calibri"/>
          <w:color w:val="525866"/>
          <w:sz w:val="22"/>
        </w:rPr>
        <w:t xml:space="preserve"> — no open-market buys. The CEO sold a significant block (~22,768 shares) two days after the Q1 earnings surge, which is notable in size but consistent with profit-taking after a ~23% single-day move; no 10b5-1 plan was flagged on any of the four transactions, making these discretionary sales. The absence of any insider buying at current levels is a mild negative signal, though not alarming given the stock's sharp run-up.</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Matthew John Flannery</w:t>
            </w:r>
          </w:p>
        </w:tc>
        <w:tc>
          <w:tcPr>
            <w:tcW w:type="dxa" w:w="1234"/>
          </w:tcPr>
          <w:p>
            <w:r>
              <w:rPr>
                <w:rFonts w:ascii="Calibri" w:hAnsi="Calibri"/>
                <w:sz w:val="22"/>
              </w:rPr>
              <w:t>President &amp; CEO, Director</w:t>
            </w:r>
          </w:p>
        </w:tc>
        <w:tc>
          <w:tcPr>
            <w:tcW w:type="dxa" w:w="1234"/>
          </w:tcPr>
          <w:p>
            <w:r>
              <w:rPr>
                <w:rFonts w:ascii="Calibri" w:hAnsi="Calibri"/>
                <w:sz w:val="22"/>
              </w:rPr>
              <w:t>Open Market Sale</w:t>
            </w:r>
          </w:p>
        </w:tc>
        <w:tc>
          <w:tcPr>
            <w:tcW w:type="dxa" w:w="1234"/>
          </w:tcPr>
          <w:p>
            <w:r>
              <w:rPr>
                <w:rFonts w:ascii="Calibri" w:hAnsi="Calibri"/>
                <w:sz w:val="22"/>
              </w:rPr>
              <w:t>22,768</w:t>
            </w:r>
          </w:p>
        </w:tc>
        <w:tc>
          <w:tcPr>
            <w:tcW w:type="dxa" w:w="1234"/>
          </w:tcPr>
          <w:p>
            <w:r>
              <w:rPr>
                <w:rFonts w:ascii="Calibri" w:hAnsi="Calibri"/>
                <w:sz w:val="22"/>
              </w:rPr>
              <w:t>~$22.5M (est. at ~$987 avg)</w:t>
            </w:r>
          </w:p>
        </w:tc>
        <w:tc>
          <w:tcPr>
            <w:tcW w:type="dxa" w:w="1234"/>
          </w:tcPr>
          <w:p>
            <w:r>
              <w:rPr>
                <w:rFonts w:ascii="Calibri" w:hAnsi="Calibri"/>
                <w:sz w:val="22"/>
              </w:rPr>
              <w:t>Apr 24, 2026</w:t>
            </w:r>
          </w:p>
        </w:tc>
        <w:tc>
          <w:tcPr>
            <w:tcW w:type="dxa" w:w="1234"/>
          </w:tcPr>
          <w:p>
            <w:r>
              <w:rPr>
                <w:rFonts w:ascii="Calibri" w:hAnsi="Calibri"/>
                <w:sz w:val="22"/>
              </w:rPr>
              <w:t>Discretionary; sold 2 days post-Q1 earnings surge; retains ~99,980 shares; no 10b5-1 plan flagged</w:t>
            </w:r>
          </w:p>
        </w:tc>
      </w:tr>
      <w:tr>
        <w:tc>
          <w:tcPr>
            <w:tcW w:type="dxa" w:w="1234"/>
          </w:tcPr>
          <w:p>
            <w:r>
              <w:rPr>
                <w:rFonts w:ascii="Calibri" w:hAnsi="Calibri"/>
                <w:sz w:val="22"/>
              </w:rPr>
              <w:t>Andrew B. Limoges</w:t>
            </w:r>
          </w:p>
        </w:tc>
        <w:tc>
          <w:tcPr>
            <w:tcW w:type="dxa" w:w="1234"/>
          </w:tcPr>
          <w:p>
            <w:r>
              <w:rPr>
                <w:rFonts w:ascii="Calibri" w:hAnsi="Calibri"/>
                <w:sz w:val="22"/>
              </w:rPr>
              <w:t>VP, Controller</w:t>
            </w:r>
          </w:p>
        </w:tc>
        <w:tc>
          <w:tcPr>
            <w:tcW w:type="dxa" w:w="1234"/>
          </w:tcPr>
          <w:p>
            <w:r>
              <w:rPr>
                <w:rFonts w:ascii="Calibri" w:hAnsi="Calibri"/>
                <w:sz w:val="22"/>
              </w:rPr>
              <w:t>Open Market Sale</w:t>
            </w:r>
          </w:p>
        </w:tc>
        <w:tc>
          <w:tcPr>
            <w:tcW w:type="dxa" w:w="1234"/>
          </w:tcPr>
          <w:p>
            <w:r>
              <w:rPr>
                <w:rFonts w:ascii="Calibri" w:hAnsi="Calibri"/>
                <w:sz w:val="22"/>
              </w:rPr>
              <w:t>548</w:t>
            </w:r>
          </w:p>
        </w:tc>
        <w:tc>
          <w:tcPr>
            <w:tcW w:type="dxa" w:w="1234"/>
          </w:tcPr>
          <w:p>
            <w:r>
              <w:rPr>
                <w:rFonts w:ascii="Calibri" w:hAnsi="Calibri"/>
                <w:sz w:val="22"/>
              </w:rPr>
              <w:t>~$541K (est. at ~$987 avg)</w:t>
            </w:r>
          </w:p>
        </w:tc>
        <w:tc>
          <w:tcPr>
            <w:tcW w:type="dxa" w:w="1234"/>
          </w:tcPr>
          <w:p>
            <w:r>
              <w:rPr>
                <w:rFonts w:ascii="Calibri" w:hAnsi="Calibri"/>
                <w:sz w:val="22"/>
              </w:rPr>
              <w:t>Apr 24, 2026</w:t>
            </w:r>
          </w:p>
        </w:tc>
        <w:tc>
          <w:tcPr>
            <w:tcW w:type="dxa" w:w="1234"/>
          </w:tcPr>
          <w:p>
            <w:r>
              <w:rPr>
                <w:rFonts w:ascii="Calibri" w:hAnsi="Calibri"/>
                <w:sz w:val="22"/>
              </w:rPr>
              <w:t>Discretionary; small relative to holdings; no 10b5-1 plan flagged</w:t>
            </w:r>
          </w:p>
        </w:tc>
      </w:tr>
      <w:tr>
        <w:tc>
          <w:tcPr>
            <w:tcW w:type="dxa" w:w="1234"/>
          </w:tcPr>
          <w:p>
            <w:r>
              <w:rPr>
                <w:rFonts w:ascii="Calibri" w:hAnsi="Calibri"/>
                <w:sz w:val="22"/>
              </w:rPr>
              <w:t>Craig Adam Pintoff</w:t>
            </w:r>
          </w:p>
        </w:tc>
        <w:tc>
          <w:tcPr>
            <w:tcW w:type="dxa" w:w="1234"/>
          </w:tcPr>
          <w:p>
            <w:r>
              <w:rPr>
                <w:rFonts w:ascii="Calibri" w:hAnsi="Calibri"/>
                <w:sz w:val="22"/>
              </w:rPr>
              <w:t>EVP, Chief Admin. Officer</w:t>
            </w:r>
          </w:p>
        </w:tc>
        <w:tc>
          <w:tcPr>
            <w:tcW w:type="dxa" w:w="1234"/>
          </w:tcPr>
          <w:p>
            <w:r>
              <w:rPr>
                <w:rFonts w:ascii="Calibri" w:hAnsi="Calibri"/>
                <w:sz w:val="22"/>
              </w:rPr>
              <w:t>Open Market Sale</w:t>
            </w:r>
          </w:p>
        </w:tc>
        <w:tc>
          <w:tcPr>
            <w:tcW w:type="dxa" w:w="1234"/>
          </w:tcPr>
          <w:p>
            <w:r>
              <w:rPr>
                <w:rFonts w:ascii="Calibri" w:hAnsi="Calibri"/>
                <w:sz w:val="22"/>
              </w:rPr>
              <w:t>2,466</w:t>
            </w:r>
          </w:p>
        </w:tc>
        <w:tc>
          <w:tcPr>
            <w:tcW w:type="dxa" w:w="1234"/>
          </w:tcPr>
          <w:p>
            <w:r>
              <w:rPr>
                <w:rFonts w:ascii="Calibri" w:hAnsi="Calibri"/>
                <w:sz w:val="22"/>
              </w:rPr>
              <w:t>~$2.4M (est. at ~$987 avg)</w:t>
            </w:r>
          </w:p>
        </w:tc>
        <w:tc>
          <w:tcPr>
            <w:tcW w:type="dxa" w:w="1234"/>
          </w:tcPr>
          <w:p>
            <w:r>
              <w:rPr>
                <w:rFonts w:ascii="Calibri" w:hAnsi="Calibri"/>
                <w:sz w:val="22"/>
              </w:rPr>
              <w:t>Apr 27, 2026</w:t>
            </w:r>
          </w:p>
        </w:tc>
        <w:tc>
          <w:tcPr>
            <w:tcW w:type="dxa" w:w="1234"/>
          </w:tcPr>
          <w:p>
            <w:r>
              <w:rPr>
                <w:rFonts w:ascii="Calibri" w:hAnsi="Calibri"/>
                <w:sz w:val="22"/>
              </w:rPr>
              <w:t>Discretionary; retains ~14,774 shares; no 10b5-1 plan flagged</w:t>
            </w:r>
          </w:p>
        </w:tc>
      </w:tr>
      <w:tr>
        <w:tc>
          <w:tcPr>
            <w:tcW w:type="dxa" w:w="1234"/>
          </w:tcPr>
          <w:p>
            <w:r>
              <w:rPr>
                <w:rFonts w:ascii="Calibri" w:hAnsi="Calibri"/>
                <w:sz w:val="22"/>
              </w:rPr>
              <w:t>Joli L. Gross</w:t>
            </w:r>
          </w:p>
        </w:tc>
        <w:tc>
          <w:tcPr>
            <w:tcW w:type="dxa" w:w="1234"/>
          </w:tcPr>
          <w:p>
            <w:r>
              <w:rPr>
                <w:rFonts w:ascii="Calibri" w:hAnsi="Calibri"/>
                <w:sz w:val="22"/>
              </w:rPr>
              <w:t>SVP, Chief Legal &amp; Sustainability Officer</w:t>
            </w:r>
          </w:p>
        </w:tc>
        <w:tc>
          <w:tcPr>
            <w:tcW w:type="dxa" w:w="1234"/>
          </w:tcPr>
          <w:p>
            <w:r>
              <w:rPr>
                <w:rFonts w:ascii="Calibri" w:hAnsi="Calibri"/>
                <w:sz w:val="22"/>
              </w:rPr>
              <w:t>Open Market Sale</w:t>
            </w:r>
          </w:p>
        </w:tc>
        <w:tc>
          <w:tcPr>
            <w:tcW w:type="dxa" w:w="1234"/>
          </w:tcPr>
          <w:p>
            <w:r>
              <w:rPr>
                <w:rFonts w:ascii="Calibri" w:hAnsi="Calibri"/>
                <w:sz w:val="22"/>
              </w:rPr>
              <w:t>306</w:t>
            </w:r>
          </w:p>
        </w:tc>
        <w:tc>
          <w:tcPr>
            <w:tcW w:type="dxa" w:w="1234"/>
          </w:tcPr>
          <w:p>
            <w:r>
              <w:rPr>
                <w:rFonts w:ascii="Calibri" w:hAnsi="Calibri"/>
                <w:sz w:val="22"/>
              </w:rPr>
              <w:t>~$302K (est. at ~$987 avg)</w:t>
            </w:r>
          </w:p>
        </w:tc>
        <w:tc>
          <w:tcPr>
            <w:tcW w:type="dxa" w:w="1234"/>
          </w:tcPr>
          <w:p>
            <w:r>
              <w:rPr>
                <w:rFonts w:ascii="Calibri" w:hAnsi="Calibri"/>
                <w:sz w:val="22"/>
              </w:rPr>
              <w:t>Apr 27, 2026</w:t>
            </w:r>
          </w:p>
        </w:tc>
        <w:tc>
          <w:tcPr>
            <w:tcW w:type="dxa" w:w="1234"/>
          </w:tcPr>
          <w:p>
            <w:r>
              <w:rPr>
                <w:rFonts w:ascii="Calibri" w:hAnsi="Calibri"/>
                <w:sz w:val="22"/>
              </w:rPr>
              <w:t>Discretionary; retains ~5,738 shares; no 10b5-1 plan flagged</w:t>
            </w:r>
          </w:p>
        </w:tc>
      </w:tr>
    </w:tbl>
    <w:p>
      <w:r>
        <w:rPr>
          <w:rFonts w:ascii="Calibri" w:hAnsi="Calibri"/>
          <w:i/>
          <w:color w:val="525866"/>
          <w:sz w:val="22"/>
        </w:rPr>
        <w:t>Source: SEC Form 4 Filings (filed April 24–27, 2026). All transactions are open-market sales (Form 4 code: S, Disposition). No open-market purchases filed in the period. No 10b5-1 plans flagged on any transaction. The cluster of sales immediately following the Q1 earnings-driven surge is consistent with opportunistic profit-taking rather than a negative fundamental signal.</w:t>
      </w:r>
    </w:p>
    <w:p>
      <w:r>
        <w:br w:type="page"/>
      </w:r>
    </w:p>
    <w:p>
      <w:pPr>
        <w:pStyle w:val="Heading2"/>
      </w:pPr>
      <w:r>
        <w:rPr>
          <w:rFonts w:ascii="Calibri" w:hAnsi="Calibri"/>
          <w:b/>
          <w:color w:val="3B4259"/>
          <w:sz w:val="28"/>
        </w:rPr>
        <w:t>8. Peer Commentary &amp; Read-Throughs (Last 60 Days)</w:t>
      </w:r>
    </w:p>
    <w:p>
      <w:r>
        <w:rPr>
          <w:rFonts w:ascii="Calibri" w:hAnsi="Calibri"/>
          <w:b/>
          <w:color w:val="525866"/>
          <w:sz w:val="22"/>
        </w:rPr>
        <w:t xml:space="preserve">Key Takeaway: </w:t>
      </w:r>
      <w:r>
        <w:rPr>
          <w:rFonts w:ascii="Calibri" w:hAnsi="Calibri"/>
          <w:color w:val="525866"/>
          <w:sz w:val="22"/>
        </w:rPr>
        <w:t xml:space="preserve">The most relevant peer read-through is </w:t>
      </w:r>
      <w:r>
        <w:rPr>
          <w:rFonts w:ascii="Calibri" w:hAnsi="Calibri"/>
          <w:b/>
          <w:color w:val="525866"/>
          <w:sz w:val="22"/>
        </w:rPr>
        <w:t>Herc Rentals (HRI) at the Wells Fargo Industrials &amp; Materials Conference (June 9, 2026)</w:t>
      </w:r>
      <w:r>
        <w:rPr>
          <w:rFonts w:ascii="Calibri" w:hAnsi="Calibri"/>
          <w:color w:val="525866"/>
          <w:sz w:val="22"/>
        </w:rPr>
        <w:t xml:space="preserve"> — HRI's commentary on pricing acceleration (up ~1–1.5 pts in March/April, another point in May), industry fleet discipline driving utilization improvement, and strong demand from power/AI/semiconductor end markets is directly applicable to URI's Q2 setup. No other qualifying peer commentary (i.e., addressing Q2 2026 conditions or forward outlook stated after a peer's last earnings) was identified in the 60-day window.</w:t>
      </w:r>
    </w:p>
    <w:p>
      <w:r>
        <w:rPr>
          <w:rFonts w:ascii="Calibri" w:hAnsi="Calibri"/>
          <w:b/>
          <w:color w:val="525866"/>
          <w:sz w:val="22"/>
        </w:rPr>
        <w:t xml:space="preserve">Methodology Note: </w:t>
      </w:r>
      <w:r>
        <w:rPr>
          <w:rFonts w:ascii="Calibri" w:hAnsi="Calibri"/>
          <w:i/>
          <w:color w:val="525866"/>
          <w:sz w:val="22"/>
        </w:rPr>
        <w:t>Only commentary from the last 60 days (approximately May 22 – July 21, 2026) that addresses Q2 2026 (current reporting quarter) conditions or forward-looking statements made after a peer's most recent earnings call is included. Retrospective commentary about prior-quarter results only is excluded. Terex (TEX) filed only an administrative 8-K on July 20–21 announcing its Q2 earnings call date (July 30) with no operational commentary — excluded. No qualifying Ashtead (AHT) or CAT commentary was identified in the window.</w:t>
      </w:r>
    </w:p>
    <w:p>
      <w:pPr>
        <w:pStyle w:val="Heading3"/>
      </w:pPr>
      <w:r>
        <w:rPr>
          <w:rFonts w:ascii="Calibri" w:hAnsi="Calibri"/>
          <w:b/>
          <w:color w:val="3B4259"/>
          <w:sz w:val="24"/>
        </w:rPr>
        <w:t>Herc Rentals (HRI) — Wells Fargo Industrials &amp; Materials Conference, June 9, 2026</w:t>
      </w:r>
    </w:p>
    <w:p>
      <w:r>
        <w:rPr>
          <w:rFonts w:ascii="Calibri" w:hAnsi="Calibri"/>
          <w:b/>
          <w:color w:val="525866"/>
          <w:sz w:val="22"/>
        </w:rPr>
        <w:t xml:space="preserve">Relevance: </w:t>
      </w:r>
      <w:r>
        <w:rPr>
          <w:rFonts w:ascii="Calibri" w:hAnsi="Calibri"/>
          <w:color w:val="525866"/>
          <w:sz w:val="22"/>
        </w:rPr>
        <w:t>HRI is URI's closest direct peer in the equipment rental industry. This conference commentary was made after HRI's Q1 2026 earnings and addresses Q2 2026 and full-year 2026 conditions — it qualifies as a forward-looking read-through. HRI's COO Aaron Birnbaum and CFO Mark Humphrey provided detailed commentary on industry pricing, utilization, end-market demand, and specialty growth.</w:t>
      </w:r>
    </w:p>
    <w:p>
      <w:pPr>
        <w:pStyle w:val="Heading4"/>
      </w:pPr>
      <w:r>
        <w:rPr>
          <w:rFonts w:ascii="Calibri" w:hAnsi="Calibri"/>
          <w:b/>
          <w:color w:val="3B4259"/>
          <w:sz w:val="22"/>
        </w:rPr>
        <w:t>Pricing — Accelerating Into Q2</w:t>
      </w:r>
    </w:p>
    <w:p>
      <w:r>
        <w:rPr>
          <w:rFonts w:ascii="Calibri" w:hAnsi="Calibri"/>
          <w:color w:val="525866"/>
          <w:sz w:val="22"/>
        </w:rPr>
        <w:t xml:space="preserve">Analyst commentary at the conference noted that 'pricing really took off in March and April — going from pretty minimal pricing to up about a point in March, point and a half in April, and another point in May.' HRI's CFO Humphrey acknowledged the industry's discipline but noted that 'significant pricing lift' ultimately requires 'a re-emergence of the local market.' He anticipated 'better performance year-over-year than 2025' for the construction season (Q2/Q3) due to fleet placement. </w:t>
      </w:r>
    </w:p>
    <w:p>
      <w:r>
        <w:rPr>
          <w:rFonts w:ascii="Calibri" w:hAnsi="Calibri"/>
          <w:b/>
          <w:color w:val="525866"/>
          <w:sz w:val="22"/>
        </w:rPr>
        <w:t xml:space="preserve">URI Read-Through: </w:t>
      </w:r>
      <w:r>
        <w:rPr>
          <w:rFonts w:ascii="Calibri" w:hAnsi="Calibri"/>
          <w:color w:val="525866"/>
          <w:sz w:val="22"/>
        </w:rPr>
        <w:t>This pricing acceleration in March–May is directly applicable to URI's Q2 fleet productivity. URI's Q1 fleet productivity of 2.3% was achieved with rate described as 'still a good guy' — if pricing continued to accelerate into Q2 as HRI's commentary suggests, URI's fleet productivity could come in above the ~2.0% consensus estimate. URI's local market commentary ('stable') is more constructive than HRI's ('muted'), suggesting URI may be better positioned to capture the pricing lift.</w:t>
      </w:r>
    </w:p>
    <w:p>
      <w:pPr>
        <w:pStyle w:val="Heading4"/>
      </w:pPr>
      <w:r>
        <w:rPr>
          <w:rFonts w:ascii="Calibri" w:hAnsi="Calibri"/>
          <w:b/>
          <w:color w:val="3B4259"/>
          <w:sz w:val="22"/>
        </w:rPr>
        <w:t>Utilization — Industry Fleet Discipline Driving Improvement</w:t>
      </w:r>
    </w:p>
    <w:p>
      <w:r>
        <w:rPr>
          <w:rFonts w:ascii="Calibri" w:hAnsi="Calibri"/>
          <w:color w:val="525866"/>
          <w:sz w:val="22"/>
        </w:rPr>
        <w:t>HRI's CFO stated that 'the last 12 months or so, the industry on whole has been extremely disciplined with fleet in and on,' which has 'certainly tightened time utilization' and driven dollar utilization. HRI specifically anticipated 'dollar utilization improvement as we work our way through Q1 into Q2 and Q3 and Q4' in 2026, driven by time utilization lift year-over-year and specialty mix improvement (800–1,000 bps of dollar utilization improvement from specialty branches).</w:t>
      </w:r>
    </w:p>
    <w:p>
      <w:r>
        <w:rPr>
          <w:rFonts w:ascii="Calibri" w:hAnsi="Calibri"/>
          <w:b/>
          <w:color w:val="525866"/>
          <w:sz w:val="22"/>
        </w:rPr>
        <w:t xml:space="preserve">URI Read-Through: </w:t>
      </w:r>
      <w:r>
        <w:rPr>
          <w:rFonts w:ascii="Calibri" w:hAnsi="Calibri"/>
          <w:color w:val="525866"/>
          <w:sz w:val="22"/>
        </w:rPr>
        <w:t>Industry-wide fleet discipline is a positive read-through for URI's time utilization in Q2. URI management noted on the Q1 call that 'time utilization...running at a high level for a few years now' and that teams are 'continuing to achieve high levels of time utilization.' HRI's confirmation of industry-wide tightening validates URI's constructive utilization outlook.</w:t>
      </w:r>
    </w:p>
    <w:p>
      <w:pPr>
        <w:pStyle w:val="Heading4"/>
      </w:pPr>
      <w:r>
        <w:rPr>
          <w:rFonts w:ascii="Calibri" w:hAnsi="Calibri"/>
          <w:b/>
          <w:color w:val="3B4259"/>
          <w:sz w:val="22"/>
        </w:rPr>
        <w:t>End-Market Demand — Power/AI/Semiconductor Strong; Local Markets Muted</w:t>
      </w:r>
    </w:p>
    <w:p>
      <w:r>
        <w:rPr>
          <w:rFonts w:ascii="Calibri" w:hAnsi="Calibri"/>
          <w:color w:val="525866"/>
          <w:sz w:val="22"/>
        </w:rPr>
        <w:t>HRI's COO Birnbaum highlighted that 'power is very, very in demand' due to AI, with significant capital deployed into 'large megawatt machines and battery power.' He noted a 'next wave of chip manufacturing' in New York, Idaho, and Arizona, and that data center equipment intensity is 'greater per dollar' than standard distribution centers. Mega projects are driving demand for 'power type products, unique aerial equipment' where 'tighter supply and demand economics' are observed. However, HRI's CFO noted a 'muted local market' expected to continue 'given the interest rate outlook for the back half of 2026.'</w:t>
      </w:r>
    </w:p>
    <w:p>
      <w:r>
        <w:rPr>
          <w:rFonts w:ascii="Calibri" w:hAnsi="Calibri"/>
          <w:b/>
          <w:color w:val="525866"/>
          <w:sz w:val="22"/>
        </w:rPr>
        <w:t xml:space="preserve">URI Read-Through: </w:t>
      </w:r>
      <w:r>
        <w:rPr>
          <w:rFonts w:ascii="Calibri" w:hAnsi="Calibri"/>
          <w:color w:val="525866"/>
          <w:sz w:val="22"/>
        </w:rPr>
        <w:t>URI's Q1 call highlighted power posting 'double-digit growth' and data centers as a key vertical — HRI's commentary validates this demand picture for Q2. URI's local market language ('stable') is more constructive than HRI's ('muted'), which could be a positive differentiator. The semiconductor wave commentary (New York, Idaho, Arizona) aligns with URI's geographic diversification and specialty rental capabilities.</w:t>
      </w:r>
    </w:p>
    <w:p>
      <w:pPr>
        <w:pStyle w:val="Heading4"/>
      </w:pPr>
      <w:r>
        <w:rPr>
          <w:rFonts w:ascii="Calibri" w:hAnsi="Calibri"/>
          <w:b/>
          <w:color w:val="3B4259"/>
          <w:sz w:val="22"/>
        </w:rPr>
        <w:t>Specialty — Continued Growth; Margin Improvement Expected</w:t>
      </w:r>
    </w:p>
    <w:p>
      <w:r>
        <w:rPr>
          <w:rFonts w:ascii="Calibri" w:hAnsi="Calibri"/>
          <w:color w:val="525866"/>
          <w:sz w:val="22"/>
        </w:rPr>
        <w:t>HRI noted 'over 200 locations that are just specialty businesses,' with 50 opened via the H&amp;E acquisition. HRI sees 'a lot more room to scale rental penetration' in power, pump, climate, trench, and industrial tools, where penetration is 'very, very low' compared to core categories. HRI's specialty investments are expected to add '800 to 1,000 basis points of dollar utilization improvement' from new branches.</w:t>
      </w:r>
    </w:p>
    <w:p>
      <w:r>
        <w:rPr>
          <w:rFonts w:ascii="Calibri" w:hAnsi="Calibri"/>
          <w:b/>
          <w:color w:val="525866"/>
          <w:sz w:val="22"/>
        </w:rPr>
        <w:t xml:space="preserve">URI Read-Through: </w:t>
      </w:r>
      <w:r>
        <w:rPr>
          <w:rFonts w:ascii="Calibri" w:hAnsi="Calibri"/>
          <w:color w:val="525866"/>
          <w:sz w:val="22"/>
        </w:rPr>
        <w:t>URI's specialty segment grew 14% YoY in Q1 with 17 cold starts opened (targeting ~40 for the full year). HRI's commentary on specialty penetration opportunity and utilization improvement validates URI's specialty growth thesis. URI's specialty margin drag narrowed to ~30 bps behind the curve in Q1 (vs. 150–200 bps drag in 2025) — HRI's specialty investment commentary suggests this improvement trend should continue in Q2.</w:t>
      </w:r>
    </w:p>
    <w:p>
      <w:pPr>
        <w:pStyle w:val="Heading4"/>
      </w:pPr>
      <w:r>
        <w:rPr>
          <w:rFonts w:ascii="Calibri" w:hAnsi="Calibri"/>
          <w:b/>
          <w:color w:val="3B4259"/>
          <w:sz w:val="22"/>
        </w:rPr>
        <w:t>Industry Structure — Consolidation Driving Discipline</w:t>
      </w:r>
    </w:p>
    <w:p>
      <w:r>
        <w:rPr>
          <w:rFonts w:ascii="Calibri" w:hAnsi="Calibri"/>
          <w:color w:val="525866"/>
          <w:sz w:val="22"/>
        </w:rPr>
        <w:t>HRI noted that 'the top three equipment rental players control about 35% of the market' and that 'consolidation over the last 5–7 years' has led to increased 'professionalism and discipline.' This rational competitive landscape generally benefits larger, more efficient players.</w:t>
      </w:r>
    </w:p>
    <w:p>
      <w:r>
        <w:rPr>
          <w:rFonts w:ascii="Calibri" w:hAnsi="Calibri"/>
          <w:b/>
          <w:color w:val="525866"/>
          <w:sz w:val="22"/>
        </w:rPr>
        <w:t xml:space="preserve">URI Read-Through: </w:t>
      </w:r>
      <w:r>
        <w:rPr>
          <w:rFonts w:ascii="Calibri" w:hAnsi="Calibri"/>
          <w:color w:val="525866"/>
          <w:sz w:val="22"/>
        </w:rPr>
        <w:t>As the world's largest equipment rental company, URI is the primary beneficiary of industry consolidation and discipline. A more rational pricing environment supports URI's fleet productivity targets and margin goals.</w:t>
      </w:r>
    </w:p>
    <w:p>
      <w:r>
        <w:rPr>
          <w:rFonts w:ascii="Calibri" w:hAnsi="Calibri"/>
          <w:i/>
          <w:color w:val="525866"/>
          <w:sz w:val="22"/>
        </w:rPr>
        <w:t>Source: Herc Holdings (HRI) — Wells Fargo 16th Annual Industrials &amp; Materials Conference Transcript, June 9, 2026. Commentary qualifies as a forward-looking read-through (post-HRI Q1 2026 earnings, addressing Q2 2026 and full-year 2026 conditions).</w:t>
      </w:r>
    </w:p>
    <w:p>
      <w:pPr>
        <w:pStyle w:val="Heading3"/>
      </w:pPr>
      <w:r>
        <w:rPr>
          <w:rFonts w:ascii="Calibri" w:hAnsi="Calibri"/>
          <w:b/>
          <w:color w:val="3B4259"/>
          <w:sz w:val="24"/>
        </w:rPr>
        <w:t>Peers Not Qualifying — Rationale for Exclusion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Document / Event</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Reason Excluded</w:t>
            </w:r>
          </w:p>
        </w:tc>
      </w:tr>
      <w:tr>
        <w:tc>
          <w:tcPr>
            <w:tcW w:type="dxa" w:w="2160"/>
          </w:tcPr>
          <w:p>
            <w:r>
              <w:rPr>
                <w:rFonts w:ascii="Calibri" w:hAnsi="Calibri"/>
                <w:sz w:val="22"/>
              </w:rPr>
              <w:t>Terex (TEX)</w:t>
            </w:r>
          </w:p>
        </w:tc>
        <w:tc>
          <w:tcPr>
            <w:tcW w:type="dxa" w:w="2160"/>
          </w:tcPr>
          <w:p>
            <w:r>
              <w:rPr>
                <w:rFonts w:ascii="Calibri" w:hAnsi="Calibri"/>
                <w:sz w:val="22"/>
              </w:rPr>
              <w:t>8-K / Press Release — Q2 2026 Earnings Call Announcement</w:t>
            </w:r>
          </w:p>
        </w:tc>
        <w:tc>
          <w:tcPr>
            <w:tcW w:type="dxa" w:w="2160"/>
          </w:tcPr>
          <w:p>
            <w:r>
              <w:rPr>
                <w:rFonts w:ascii="Calibri" w:hAnsi="Calibri"/>
                <w:sz w:val="22"/>
              </w:rPr>
              <w:t>Jul 20–21, 2026</w:t>
            </w:r>
          </w:p>
        </w:tc>
        <w:tc>
          <w:tcPr>
            <w:tcW w:type="dxa" w:w="2160"/>
          </w:tcPr>
          <w:p>
            <w:r>
              <w:rPr>
                <w:rFonts w:ascii="Calibri" w:hAnsi="Calibri"/>
                <w:sz w:val="22"/>
              </w:rPr>
              <w:t>Administrative announcement only (earnings call scheduled for July 30); no operational or financial commentary on Q2 2026 conditions</w:t>
            </w:r>
          </w:p>
        </w:tc>
      </w:tr>
      <w:tr>
        <w:tc>
          <w:tcPr>
            <w:tcW w:type="dxa" w:w="2160"/>
          </w:tcPr>
          <w:p>
            <w:r>
              <w:rPr>
                <w:rFonts w:ascii="Calibri" w:hAnsi="Calibri"/>
                <w:sz w:val="22"/>
              </w:rPr>
              <w:t>Ashtead (AHT LN)</w:t>
            </w:r>
          </w:p>
        </w:tc>
        <w:tc>
          <w:tcPr>
            <w:tcW w:type="dxa" w:w="2160"/>
          </w:tcPr>
          <w:p>
            <w:r>
              <w:rPr>
                <w:rFonts w:ascii="Calibri" w:hAnsi="Calibri"/>
                <w:sz w:val="22"/>
              </w:rPr>
              <w:t>No qualifying document found in 60-day window</w:t>
            </w:r>
          </w:p>
        </w:tc>
        <w:tc>
          <w:tcPr>
            <w:tcW w:type="dxa" w:w="2160"/>
          </w:tcPr>
          <w:p>
            <w:r>
              <w:rPr>
                <w:rFonts w:ascii="Calibri" w:hAnsi="Calibri"/>
                <w:sz w:val="22"/>
              </w:rPr>
              <w:t>N/A</w:t>
            </w:r>
          </w:p>
        </w:tc>
        <w:tc>
          <w:tcPr>
            <w:tcW w:type="dxa" w:w="2160"/>
          </w:tcPr>
          <w:p>
            <w:r>
              <w:rPr>
                <w:rFonts w:ascii="Calibri" w:hAnsi="Calibri"/>
                <w:sz w:val="22"/>
              </w:rPr>
              <w:t>No post-earnings conference or forward-looking commentary identified in the research window</w:t>
            </w:r>
          </w:p>
        </w:tc>
      </w:tr>
      <w:tr>
        <w:tc>
          <w:tcPr>
            <w:tcW w:type="dxa" w:w="2160"/>
          </w:tcPr>
          <w:p>
            <w:r>
              <w:rPr>
                <w:rFonts w:ascii="Calibri" w:hAnsi="Calibri"/>
                <w:sz w:val="22"/>
              </w:rPr>
              <w:t>CAT / CNHI / AIT</w:t>
            </w:r>
          </w:p>
        </w:tc>
        <w:tc>
          <w:tcPr>
            <w:tcW w:type="dxa" w:w="2160"/>
          </w:tcPr>
          <w:p>
            <w:r>
              <w:rPr>
                <w:rFonts w:ascii="Calibri" w:hAnsi="Calibri"/>
                <w:sz w:val="22"/>
              </w:rPr>
              <w:t>No qualifying document found in 60-day window</w:t>
            </w:r>
          </w:p>
        </w:tc>
        <w:tc>
          <w:tcPr>
            <w:tcW w:type="dxa" w:w="2160"/>
          </w:tcPr>
          <w:p>
            <w:r>
              <w:rPr>
                <w:rFonts w:ascii="Calibri" w:hAnsi="Calibri"/>
                <w:sz w:val="22"/>
              </w:rPr>
              <w:t>N/A</w:t>
            </w:r>
          </w:p>
        </w:tc>
        <w:tc>
          <w:tcPr>
            <w:tcW w:type="dxa" w:w="2160"/>
          </w:tcPr>
          <w:p>
            <w:r>
              <w:rPr>
                <w:rFonts w:ascii="Calibri" w:hAnsi="Calibri"/>
                <w:sz w:val="22"/>
              </w:rPr>
              <w:t>No post-earnings conference or forward-looking commentary addressing Q2 2026 rental/construction conditions identified</w:t>
            </w:r>
          </w:p>
        </w:tc>
      </w:tr>
    </w:tbl>
    <w:p>
      <w:r>
        <w:br w:type="page"/>
      </w:r>
    </w:p>
    <w:p>
      <w:pPr>
        <w:pStyle w:val="Heading2"/>
      </w:pPr>
      <w:r>
        <w:rPr>
          <w:rFonts w:ascii="Calibri" w:hAnsi="Calibri"/>
          <w:b/>
          <w:color w:val="3B4259"/>
          <w:sz w:val="28"/>
        </w:rPr>
        <w:t>Appendix: EPS Revision Momentum (Q2 2026)</w:t>
      </w:r>
    </w:p>
    <w:p>
      <w:r>
        <w:rPr>
          <w:rFonts w:ascii="Calibri" w:hAnsi="Calibri"/>
          <w:i/>
          <w:color w:val="525866"/>
          <w:sz w:val="22"/>
        </w:rPr>
        <w:t>The table below shows trailing month-end snapshots of the consensus diluted EPS estimate for Q2 2026 (quarter ending June 30, 2026) alongside URI's stock price. Source: Visible Alpha / Earnings &amp; Estimate Revision Momentum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Month-End</w:t>
            </w:r>
          </w:p>
        </w:tc>
        <w:tc>
          <w:tcPr>
            <w:tcW w:type="dxa" w:w="2160"/>
            <w:shd w:val="clear" w:color="auto" w:fill="3B4259"/>
          </w:tcPr>
          <w:p>
            <w:r>
              <w:rPr>
                <w:rFonts w:ascii="Calibri" w:hAnsi="Calibri"/>
                <w:b/>
                <w:color w:val="FFFFFF"/>
                <w:sz w:val="22"/>
              </w:rPr>
              <w:t>Q2 2026 Adj. EPS Estimate</w:t>
            </w:r>
          </w:p>
        </w:tc>
        <w:tc>
          <w:tcPr>
            <w:tcW w:type="dxa" w:w="2160"/>
            <w:shd w:val="clear" w:color="auto" w:fill="3B4259"/>
          </w:tcPr>
          <w:p>
            <w:r>
              <w:rPr>
                <w:rFonts w:ascii="Calibri" w:hAnsi="Calibri"/>
                <w:b/>
                <w:color w:val="FFFFFF"/>
                <w:sz w:val="22"/>
              </w:rPr>
              <w:t>URI Stock Price</w:t>
            </w:r>
          </w:p>
        </w:tc>
        <w:tc>
          <w:tcPr>
            <w:tcW w:type="dxa" w:w="2160"/>
            <w:shd w:val="clear" w:color="auto" w:fill="3B4259"/>
          </w:tcPr>
          <w:p>
            <w:r>
              <w:rPr>
                <w:rFonts w:ascii="Calibri" w:hAnsi="Calibri"/>
                <w:b/>
                <w:color w:val="FFFFFF"/>
                <w:sz w:val="22"/>
              </w:rPr>
              <w:t>Commentary</w:t>
            </w:r>
          </w:p>
        </w:tc>
      </w:tr>
      <w:tr>
        <w:tc>
          <w:tcPr>
            <w:tcW w:type="dxa" w:w="2160"/>
          </w:tcPr>
          <w:p>
            <w:r>
              <w:rPr>
                <w:rFonts w:ascii="Calibri" w:hAnsi="Calibri"/>
                <w:sz w:val="22"/>
              </w:rPr>
              <w:t>Aug 2025</w:t>
            </w:r>
          </w:p>
        </w:tc>
        <w:tc>
          <w:tcPr>
            <w:tcW w:type="dxa" w:w="2160"/>
          </w:tcPr>
          <w:p>
            <w:r>
              <w:rPr>
                <w:rFonts w:ascii="Calibri" w:hAnsi="Calibri"/>
                <w:sz w:val="22"/>
              </w:rPr>
              <w:t>$10.75</w:t>
            </w:r>
          </w:p>
        </w:tc>
        <w:tc>
          <w:tcPr>
            <w:tcW w:type="dxa" w:w="2160"/>
          </w:tcPr>
          <w:p>
            <w:r>
              <w:rPr>
                <w:rFonts w:ascii="Calibri" w:hAnsi="Calibri"/>
                <w:sz w:val="22"/>
              </w:rPr>
              <w:t>$956.34</w:t>
            </w:r>
          </w:p>
        </w:tc>
        <w:tc>
          <w:tcPr>
            <w:tcW w:type="dxa" w:w="2160"/>
          </w:tcPr>
          <w:p>
            <w:r>
              <w:rPr>
                <w:rFonts w:ascii="Calibri" w:hAnsi="Calibri"/>
                <w:sz w:val="22"/>
              </w:rPr>
              <w:t>Baseline pre-Q3 2025 earnings</w:t>
            </w:r>
          </w:p>
        </w:tc>
      </w:tr>
      <w:tr>
        <w:tc>
          <w:tcPr>
            <w:tcW w:type="dxa" w:w="2160"/>
          </w:tcPr>
          <w:p>
            <w:r>
              <w:rPr>
                <w:rFonts w:ascii="Calibri" w:hAnsi="Calibri"/>
                <w:sz w:val="22"/>
              </w:rPr>
              <w:t>Oct 2025</w:t>
            </w:r>
          </w:p>
        </w:tc>
        <w:tc>
          <w:tcPr>
            <w:tcW w:type="dxa" w:w="2160"/>
          </w:tcPr>
          <w:p>
            <w:r>
              <w:rPr>
                <w:rFonts w:ascii="Calibri" w:hAnsi="Calibri"/>
                <w:sz w:val="22"/>
              </w:rPr>
              <w:t>$10.52</w:t>
            </w:r>
          </w:p>
        </w:tc>
        <w:tc>
          <w:tcPr>
            <w:tcW w:type="dxa" w:w="2160"/>
          </w:tcPr>
          <w:p>
            <w:r>
              <w:rPr>
                <w:rFonts w:ascii="Calibri" w:hAnsi="Calibri"/>
                <w:sz w:val="22"/>
              </w:rPr>
              <w:t>$871.18</w:t>
            </w:r>
          </w:p>
        </w:tc>
        <w:tc>
          <w:tcPr>
            <w:tcW w:type="dxa" w:w="2160"/>
          </w:tcPr>
          <w:p>
            <w:r>
              <w:rPr>
                <w:rFonts w:ascii="Calibri" w:hAnsi="Calibri"/>
                <w:sz w:val="22"/>
              </w:rPr>
              <w:t>Estimates cut post-Q3 2025 miss; stock declined</w:t>
            </w:r>
          </w:p>
        </w:tc>
      </w:tr>
      <w:tr>
        <w:tc>
          <w:tcPr>
            <w:tcW w:type="dxa" w:w="2160"/>
          </w:tcPr>
          <w:p>
            <w:r>
              <w:rPr>
                <w:rFonts w:ascii="Calibri" w:hAnsi="Calibri"/>
                <w:sz w:val="22"/>
              </w:rPr>
              <w:t>Dec 2025</w:t>
            </w:r>
          </w:p>
        </w:tc>
        <w:tc>
          <w:tcPr>
            <w:tcW w:type="dxa" w:w="2160"/>
          </w:tcPr>
          <w:p>
            <w:r>
              <w:rPr>
                <w:rFonts w:ascii="Calibri" w:hAnsi="Calibri"/>
                <w:sz w:val="22"/>
              </w:rPr>
              <w:t>$10.53</w:t>
            </w:r>
          </w:p>
        </w:tc>
        <w:tc>
          <w:tcPr>
            <w:tcW w:type="dxa" w:w="2160"/>
          </w:tcPr>
          <w:p>
            <w:r>
              <w:rPr>
                <w:rFonts w:ascii="Calibri" w:hAnsi="Calibri"/>
                <w:sz w:val="22"/>
              </w:rPr>
              <w:t>$809.32</w:t>
            </w:r>
          </w:p>
        </w:tc>
        <w:tc>
          <w:tcPr>
            <w:tcW w:type="dxa" w:w="2160"/>
          </w:tcPr>
          <w:p>
            <w:r>
              <w:rPr>
                <w:rFonts w:ascii="Calibri" w:hAnsi="Calibri"/>
                <w:sz w:val="22"/>
              </w:rPr>
              <w:t>Estimates stable; stock continued lower post-Q4 2025 miss</w:t>
            </w:r>
          </w:p>
        </w:tc>
      </w:tr>
      <w:tr>
        <w:tc>
          <w:tcPr>
            <w:tcW w:type="dxa" w:w="2160"/>
          </w:tcPr>
          <w:p>
            <w:r>
              <w:rPr>
                <w:rFonts w:ascii="Calibri" w:hAnsi="Calibri"/>
                <w:sz w:val="22"/>
              </w:rPr>
              <w:t>Feb 2026</w:t>
            </w:r>
          </w:p>
        </w:tc>
        <w:tc>
          <w:tcPr>
            <w:tcW w:type="dxa" w:w="2160"/>
          </w:tcPr>
          <w:p>
            <w:r>
              <w:rPr>
                <w:rFonts w:ascii="Calibri" w:hAnsi="Calibri"/>
                <w:sz w:val="22"/>
              </w:rPr>
              <w:t>$10.66</w:t>
            </w:r>
          </w:p>
        </w:tc>
        <w:tc>
          <w:tcPr>
            <w:tcW w:type="dxa" w:w="2160"/>
          </w:tcPr>
          <w:p>
            <w:r>
              <w:rPr>
                <w:rFonts w:ascii="Calibri" w:hAnsi="Calibri"/>
                <w:sz w:val="22"/>
              </w:rPr>
              <w:t>$840.00</w:t>
            </w:r>
          </w:p>
        </w:tc>
        <w:tc>
          <w:tcPr>
            <w:tcW w:type="dxa" w:w="2160"/>
          </w:tcPr>
          <w:p>
            <w:r>
              <w:rPr>
                <w:rFonts w:ascii="Calibri" w:hAnsi="Calibri"/>
                <w:sz w:val="22"/>
              </w:rPr>
              <w:t>Modest estimate recovery; stock rebounding</w:t>
            </w:r>
          </w:p>
        </w:tc>
      </w:tr>
      <w:tr>
        <w:tc>
          <w:tcPr>
            <w:tcW w:type="dxa" w:w="2160"/>
          </w:tcPr>
          <w:p>
            <w:r>
              <w:rPr>
                <w:rFonts w:ascii="Calibri" w:hAnsi="Calibri"/>
                <w:sz w:val="22"/>
              </w:rPr>
              <w:t>Apr 2026</w:t>
            </w:r>
          </w:p>
        </w:tc>
        <w:tc>
          <w:tcPr>
            <w:tcW w:type="dxa" w:w="2160"/>
          </w:tcPr>
          <w:p>
            <w:r>
              <w:rPr>
                <w:rFonts w:ascii="Calibri" w:hAnsi="Calibri"/>
                <w:sz w:val="22"/>
              </w:rPr>
              <w:t>$10.73</w:t>
            </w:r>
          </w:p>
        </w:tc>
        <w:tc>
          <w:tcPr>
            <w:tcW w:type="dxa" w:w="2160"/>
          </w:tcPr>
          <w:p>
            <w:r>
              <w:rPr>
                <w:rFonts w:ascii="Calibri" w:hAnsi="Calibri"/>
                <w:sz w:val="22"/>
              </w:rPr>
              <w:t>$959.84</w:t>
            </w:r>
          </w:p>
        </w:tc>
        <w:tc>
          <w:tcPr>
            <w:tcW w:type="dxa" w:w="2160"/>
          </w:tcPr>
          <w:p>
            <w:r>
              <w:rPr>
                <w:rFonts w:ascii="Calibri" w:hAnsi="Calibri"/>
                <w:sz w:val="22"/>
              </w:rPr>
              <w:t>Post-Q1 2026 beat; estimates revised up; stock surged</w:t>
            </w:r>
          </w:p>
        </w:tc>
      </w:tr>
      <w:tr>
        <w:tc>
          <w:tcPr>
            <w:tcW w:type="dxa" w:w="2160"/>
          </w:tcPr>
          <w:p>
            <w:r>
              <w:rPr>
                <w:rFonts w:ascii="Calibri" w:hAnsi="Calibri"/>
                <w:sz w:val="22"/>
              </w:rPr>
              <w:t>May 2026</w:t>
            </w:r>
          </w:p>
        </w:tc>
        <w:tc>
          <w:tcPr>
            <w:tcW w:type="dxa" w:w="2160"/>
          </w:tcPr>
          <w:p>
            <w:r>
              <w:rPr>
                <w:rFonts w:ascii="Calibri" w:hAnsi="Calibri"/>
                <w:sz w:val="22"/>
              </w:rPr>
              <w:t>$10.74</w:t>
            </w:r>
          </w:p>
        </w:tc>
        <w:tc>
          <w:tcPr>
            <w:tcW w:type="dxa" w:w="2160"/>
          </w:tcPr>
          <w:p>
            <w:r>
              <w:rPr>
                <w:rFonts w:ascii="Calibri" w:hAnsi="Calibri"/>
                <w:sz w:val="22"/>
              </w:rPr>
              <w:t>$995.67</w:t>
            </w:r>
          </w:p>
        </w:tc>
        <w:tc>
          <w:tcPr>
            <w:tcW w:type="dxa" w:w="2160"/>
          </w:tcPr>
          <w:p>
            <w:r>
              <w:rPr>
                <w:rFonts w:ascii="Calibri" w:hAnsi="Calibri"/>
                <w:sz w:val="22"/>
              </w:rPr>
              <w:t>Estimates stable; stock continued higher</w:t>
            </w:r>
          </w:p>
        </w:tc>
      </w:tr>
      <w:tr>
        <w:tc>
          <w:tcPr>
            <w:tcW w:type="dxa" w:w="2160"/>
          </w:tcPr>
          <w:p>
            <w:r>
              <w:rPr>
                <w:rFonts w:ascii="Calibri" w:hAnsi="Calibri"/>
                <w:sz w:val="22"/>
              </w:rPr>
              <w:t>Jun 2026</w:t>
            </w:r>
          </w:p>
        </w:tc>
        <w:tc>
          <w:tcPr>
            <w:tcW w:type="dxa" w:w="2160"/>
          </w:tcPr>
          <w:p>
            <w:r>
              <w:rPr>
                <w:rFonts w:ascii="Calibri" w:hAnsi="Calibri"/>
                <w:sz w:val="22"/>
              </w:rPr>
              <w:t>$10.67</w:t>
            </w:r>
          </w:p>
        </w:tc>
        <w:tc>
          <w:tcPr>
            <w:tcW w:type="dxa" w:w="2160"/>
          </w:tcPr>
          <w:p>
            <w:r>
              <w:rPr>
                <w:rFonts w:ascii="Calibri" w:hAnsi="Calibri"/>
                <w:sz w:val="22"/>
              </w:rPr>
              <w:t>$1,132.89</w:t>
            </w:r>
          </w:p>
        </w:tc>
        <w:tc>
          <w:tcPr>
            <w:tcW w:type="dxa" w:w="2160"/>
          </w:tcPr>
          <w:p>
            <w:r>
              <w:rPr>
                <w:rFonts w:ascii="Calibri" w:hAnsi="Calibri"/>
                <w:sz w:val="22"/>
              </w:rPr>
              <w:t>Estimates slightly lower; stock at peak — multiple expansion driving performance</w:t>
            </w:r>
          </w:p>
        </w:tc>
      </w:tr>
      <w:tr>
        <w:tc>
          <w:tcPr>
            <w:tcW w:type="dxa" w:w="2160"/>
          </w:tcPr>
          <w:p>
            <w:r>
              <w:rPr>
                <w:rFonts w:ascii="Calibri" w:hAnsi="Calibri"/>
                <w:sz w:val="22"/>
              </w:rPr>
              <w:t>Jul 2026 (latest)</w:t>
            </w:r>
          </w:p>
        </w:tc>
        <w:tc>
          <w:tcPr>
            <w:tcW w:type="dxa" w:w="2160"/>
          </w:tcPr>
          <w:p>
            <w:r>
              <w:rPr>
                <w:rFonts w:ascii="Calibri" w:hAnsi="Calibri"/>
                <w:sz w:val="22"/>
              </w:rPr>
              <w:t>$10.69</w:t>
            </w:r>
          </w:p>
        </w:tc>
        <w:tc>
          <w:tcPr>
            <w:tcW w:type="dxa" w:w="2160"/>
          </w:tcPr>
          <w:p>
            <w:r>
              <w:rPr>
                <w:rFonts w:ascii="Calibri" w:hAnsi="Calibri"/>
                <w:sz w:val="22"/>
              </w:rPr>
              <w:t>$1,013.58</w:t>
            </w:r>
          </w:p>
        </w:tc>
        <w:tc>
          <w:tcPr>
            <w:tcW w:type="dxa" w:w="2160"/>
          </w:tcPr>
          <w:p>
            <w:r>
              <w:rPr>
                <w:rFonts w:ascii="Calibri" w:hAnsi="Calibri"/>
                <w:sz w:val="22"/>
              </w:rPr>
              <w:t>Estimates stable; stock pulled back ~10% from peak</w:t>
            </w:r>
          </w:p>
        </w:tc>
      </w:tr>
    </w:tbl>
    <w:p>
      <w:r>
        <w:rPr>
          <w:rFonts w:ascii="Calibri" w:hAnsi="Calibri"/>
          <w:b/>
          <w:color w:val="525866"/>
          <w:sz w:val="22"/>
        </w:rPr>
        <w:t xml:space="preserve">Key Insight: </w:t>
      </w:r>
      <w:r>
        <w:rPr>
          <w:rFonts w:ascii="Calibri" w:hAnsi="Calibri"/>
          <w:color w:val="525866"/>
          <w:sz w:val="22"/>
        </w:rPr>
        <w:t>EPS estimates for Q2 2026 have been remarkably stable since the Q1 beat (ranging $10.52–$10.75 over the trailing 12 months), while the stock has moved dramatically — from $809 in December 2025 to $1,133 at the June peak. This confirms that the stock's performance has been almost entirely driven by multiple re-rating rather than estimate revisions, making the Q2 print itself (and any guidance revision) the critical catalyst for the next leg of the move. Source: Visible Alpha Consensus and Actuals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