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VRSN before writing the preview. Let me gather recent earnings materials, filings, news, and price data in parallel.Let me read the most recent earnings call transcript and release for details.Let me get the Q2 2025 release (the year-ago comparison base) and search for consensus expectations.Let me check recent news context around the June/July price move and any notable developments.I have what I need. Here's the earnings preview.</w:t>
      </w:r>
    </w:p>
    <w:bookmarkStart w:id="16" w:name="verisign-vrsn--q2-2026-earnings-preview"/>
    <w:p>
      <w:pPr>
        <w:pStyle w:val="Heading1"/>
      </w:pPr>
      <w:r>
        <w:t xml:space="preserve">VeriSign (VRSN) — Q2 2026 Earnings Preview</w:t>
      </w:r>
    </w:p>
    <w:p>
      <w:pPr>
        <w:pStyle w:val="FirstParagraph"/>
      </w:pPr>
      <w:r>
        <w:rPr>
          <w:b/>
          <w:bCs/>
        </w:rPr>
        <w:t xml:space="preserve">Report date:</w:t>
      </w:r>
      <w:r>
        <w:t xml:space="preserve"> </w:t>
      </w:r>
      <w:r>
        <w:t xml:space="preserve">Thursday, July 23, 2026 (after close) |</w:t>
      </w:r>
      <w:r>
        <w:t xml:space="preserve"> </w:t>
      </w:r>
      <w:r>
        <w:rPr>
          <w:b/>
          <w:bCs/>
        </w:rPr>
        <w:t xml:space="preserve">Call:</w:t>
      </w:r>
      <w:r>
        <w:t xml:space="preserve"> </w:t>
      </w:r>
      <w:r>
        <w:t xml:space="preserve">4:30 p.m. ET</w:t>
      </w:r>
    </w:p>
    <w:p>
      <w:r>
        <w:pict>
          <v:rect style="width:0;height:1.5pt" o:hralign="center" o:hrstd="t" o:hr="t"/>
        </w:pict>
      </w:r>
    </w:p>
    <w:bookmarkStart w:id="9" w:name="the-one-line-setup"/>
    <w:p>
      <w:pPr>
        <w:pStyle w:val="Heading2"/>
      </w:pPr>
      <w:r>
        <w:t xml:space="preserve">The one-line setup</w:t>
      </w:r>
    </w:p>
    <w:p>
      <w:pPr>
        <w:pStyle w:val="FirstParagraph"/>
      </w:pPr>
      <w:r>
        <w:t xml:space="preserve">A quintessential VeriSign quarter is rarely about the headline print — the model is a subscription annuity on the .com/.net domain base, so the numbers are highly predictable. The debate this quarter is whether the</w:t>
      </w:r>
      <w:r>
        <w:t xml:space="preserve"> </w:t>
      </w:r>
      <w:r>
        <w:rPr>
          <w:b/>
          <w:bCs/>
        </w:rPr>
        <w:t xml:space="preserve">2025–26 reacceleration in the domain name base is durable</w:t>
      </w:r>
      <w:r>
        <w:t xml:space="preserve">, how the</w:t>
      </w:r>
      <w:r>
        <w:t xml:space="preserve"> </w:t>
      </w:r>
      <w:r>
        <w:rPr>
          <w:b/>
          <w:bCs/>
        </w:rPr>
        <w:t xml:space="preserve">November .com price increase</w:t>
      </w:r>
      <w:r>
        <w:t xml:space="preserve"> </w:t>
      </w:r>
      <w:r>
        <w:t xml:space="preserve">plays through, and whether management applies in the</w:t>
      </w:r>
      <w:r>
        <w:t xml:space="preserve"> </w:t>
      </w:r>
      <w:r>
        <w:rPr>
          <w:b/>
          <w:bCs/>
        </w:rPr>
        <w:t xml:space="preserve">ICANN 2026 gTLD round</w:t>
      </w:r>
      <w:r>
        <w:t xml:space="preserve"> </w:t>
      </w:r>
      <w:r>
        <w:t xml:space="preserve">(window closes August 12). Sentiment is cautious into the print: the stock has given back roughly 15% from its late-May high.</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Consensus EPS: ~</w:t>
      </w:r>
      <m:oMath>
        <m:r>
          <m:t>2.39</m:t>
        </m:r>
        <m:r>
          <m:rPr>
            <m:sty m:val="p"/>
          </m:rPr>
          <m:t>–</m:t>
        </m:r>
        <m:r>
          <m:t>2.42</m:t>
        </m:r>
        <m:r>
          <m:rPr>
            <m:sty m:val="p"/>
          </m:rPr>
          <m:t>*</m:t>
        </m:r>
        <m:r>
          <m:rPr>
            <m:sty m:val="p"/>
          </m:rPr>
          <m:t>*</m:t>
        </m:r>
        <m:r>
          <m:rPr>
            <m:sty m:val="p"/>
          </m:rPr>
          <m:t>(</m:t>
        </m:r>
        <m:r>
          <m:t>v</m:t>
        </m:r>
        <m:r>
          <m:t>s</m:t>
        </m:r>
        <m:r>
          <m:rPr>
            <m:sty m:val="p"/>
          </m:rPr>
          <m:t>.</m:t>
        </m:r>
        <m:r>
          <m:rPr>
            <m:sty m:val="p"/>
          </m:rPr>
          <m:t>*</m:t>
        </m:r>
        <m:r>
          <m:rPr>
            <m:sty m:val="p"/>
          </m:rPr>
          <m:t>*</m:t>
        </m:r>
      </m:oMath>
      <w:r>
        <w:rPr>
          <w:b/>
          <w:bCs/>
        </w:rPr>
        <w:t xml:space="preserve">2.21</w:t>
      </w:r>
      <w:r>
        <w:t xml:space="preserve"> </w:t>
      </w:r>
      <w:r>
        <w:t xml:space="preserve">in Q2 2025 — roughly +8% YoY).</w:t>
      </w:r>
    </w:p>
    <w:p>
      <w:pPr>
        <w:pStyle w:val="Compact"/>
        <w:numPr>
          <w:ilvl w:val="0"/>
          <w:numId w:val="1001"/>
        </w:numPr>
      </w:pPr>
      <w:r>
        <w:rPr>
          <w:b/>
          <w:bCs/>
        </w:rPr>
        <w:t xml:space="preserve">Consensus revenue: ~</w:t>
      </w:r>
      <m:oMath>
        <m:r>
          <m:t>433</m:t>
        </m:r>
        <m:r>
          <m:t>m</m:t>
        </m:r>
        <m:r>
          <m:t>i</m:t>
        </m:r>
        <m:r>
          <m:t>l</m:t>
        </m:r>
        <m:r>
          <m:t>l</m:t>
        </m:r>
        <m:r>
          <m:t>i</m:t>
        </m:r>
        <m:r>
          <m:t>o</m:t>
        </m:r>
        <m:r>
          <m:t>n</m:t>
        </m:r>
        <m:r>
          <m:rPr>
            <m:sty m:val="p"/>
          </m:rPr>
          <m:t>*</m:t>
        </m:r>
        <m:r>
          <m:rPr>
            <m:sty m:val="p"/>
          </m:rPr>
          <m:t>*</m:t>
        </m:r>
        <m:r>
          <m:rPr>
            <m:sty m:val="p"/>
          </m:rPr>
          <m:t>(</m:t>
        </m:r>
        <m:r>
          <m:t>v</m:t>
        </m:r>
        <m:r>
          <m:t>s</m:t>
        </m:r>
        <m:r>
          <m:rPr>
            <m:sty m:val="p"/>
          </m:rPr>
          <m:t>.</m:t>
        </m:r>
        <m:r>
          <m:rPr>
            <m:sty m:val="p"/>
          </m:rPr>
          <m:t>*</m:t>
        </m:r>
        <m:r>
          <m:rPr>
            <m:sty m:val="p"/>
          </m:rPr>
          <m:t>*</m:t>
        </m:r>
      </m:oMath>
      <w:r>
        <w:rPr>
          <w:b/>
          <w:bCs/>
        </w:rPr>
        <w:t xml:space="preserve">409.9 million</w:t>
      </w:r>
      <w:r>
        <w:t xml:space="preserve"> </w:t>
      </w:r>
      <w:r>
        <w:t xml:space="preserve">in Q2 2025 — roughly +5.6% YoY).</w:t>
      </w:r>
    </w:p>
    <w:p>
      <w:pPr>
        <w:pStyle w:val="Compact"/>
        <w:numPr>
          <w:ilvl w:val="0"/>
          <w:numId w:val="1001"/>
        </w:numPr>
      </w:pPr>
      <w:r>
        <w:t xml:space="preserve">These are squarely consistent with the raised full-year guide (see below), so a genuine surprise would have to come from the domain metrics, not the P&amp;L.</w:t>
      </w:r>
    </w:p>
    <w:p>
      <w:pPr>
        <w:pStyle w:val="FirstParagraph"/>
      </w:pPr>
      <w:r>
        <w:rPr>
          <w:b/>
          <w:bCs/>
        </w:rPr>
        <w:t xml:space="preserve">Full-year 2026 guidance to hold against (raised at Q1):</w:t>
      </w:r>
      <w:r>
        <w:t xml:space="preserve"> </w:t>
      </w:r>
      <w:r>
        <w:t xml:space="preserve">| Metric | FY2026 guide |</w:t>
      </w:r>
      <w:r>
        <w:t xml:space="preserve"> </w:t>
      </w:r>
      <w:r>
        <w:t xml:space="preserve">|---|---|</w:t>
      </w:r>
      <w:r>
        <w:t xml:space="preserve"> </w:t>
      </w:r>
      <w:r>
        <w:t xml:space="preserve">| Revenue | $1.730B – $1.745B |</w:t>
      </w:r>
      <w:r>
        <w:t xml:space="preserve"> </w:t>
      </w:r>
      <w:r>
        <w:t xml:space="preserve">| Operating income | $1.170B – $1.185B |</w:t>
      </w:r>
      <w:r>
        <w:t xml:space="preserve"> </w:t>
      </w:r>
      <w:r>
        <w:t xml:space="preserve">| Domain name base growth |</w:t>
      </w:r>
      <w:r>
        <w:t xml:space="preserve"> </w:t>
      </w:r>
      <w:r>
        <w:rPr>
          <w:b/>
          <w:bCs/>
        </w:rPr>
        <w:t xml:space="preserve">3.1% – 4.3%</w:t>
      </w:r>
      <w:r>
        <w:t xml:space="preserve"> </w:t>
      </w:r>
      <w:r>
        <w:t xml:space="preserve">(raised &amp; narrowed from prior) |</w:t>
      </w:r>
      <w:r>
        <w:t xml:space="preserve"> </w:t>
      </w:r>
      <w:r>
        <w:t xml:space="preserve">| Interest exp. &amp; non-op, net | $(57)M – $(67)M |</w:t>
      </w:r>
      <w:r>
        <w:t xml:space="preserve"> </w:t>
      </w:r>
      <w:r>
        <w:t xml:space="preserve">| Capex | $55M – $65M |</w:t>
      </w:r>
      <w:r>
        <w:t xml:space="preserve"> </w:t>
      </w:r>
      <w:r>
        <w:t xml:space="preserve">| GAAP tax rate | 22% – 25% |</w:t>
      </w:r>
    </w:p>
    <w:p>
      <w:pPr>
        <w:pStyle w:val="BodyText"/>
      </w:pPr>
      <w:r>
        <w:t xml:space="preserve">Q1 revenue was</w:t>
      </w:r>
      <w:r>
        <w:t xml:space="preserve"> </w:t>
      </w:r>
      <m:oMath>
        <m:r>
          <m:t>429</m:t>
        </m:r>
        <m:r>
          <m:t>M</m:t>
        </m:r>
        <m:r>
          <m:rPr>
            <m:sty m:val="p"/>
          </m:rPr>
          <m:t>,</m:t>
        </m:r>
        <m:r>
          <m:t>s</m:t>
        </m:r>
        <m:r>
          <m:t>o</m:t>
        </m:r>
        <m:r>
          <m:t>t</m:t>
        </m:r>
        <m:r>
          <m:t>h</m:t>
        </m:r>
        <m:r>
          <m:t>e</m:t>
        </m:r>
        <m:r>
          <m:t>g</m:t>
        </m:r>
        <m:r>
          <m:t>u</m:t>
        </m:r>
        <m:r>
          <m:t>i</m:t>
        </m:r>
        <m:r>
          <m:t>d</m:t>
        </m:r>
        <m:r>
          <m:t>e</m:t>
        </m:r>
        <m:r>
          <m:t>i</m:t>
        </m:r>
        <m:r>
          <m:t>m</m:t>
        </m:r>
        <m:r>
          <m:t>p</m:t>
        </m:r>
        <m:r>
          <m:t>l</m:t>
        </m:r>
        <m:r>
          <m:t>i</m:t>
        </m:r>
        <m:r>
          <m:t>e</m:t>
        </m:r>
        <m:r>
          <m:t>s</m:t>
        </m:r>
        <m:r>
          <m:t> </m:t>
        </m:r>
      </m:oMath>
      <w:r>
        <w:t xml:space="preserve">434–439M per quarter for the balance of the year — the $433M consensus sits right in that band. Watch for whether management</w:t>
      </w:r>
      <w:r>
        <w:t xml:space="preserve"> </w:t>
      </w:r>
      <w:r>
        <w:rPr>
          <w:b/>
          <w:bCs/>
        </w:rPr>
        <w:t xml:space="preserve">raises the domain-base growth guide again</w:t>
      </w:r>
      <w:r>
        <w:t xml:space="preserve"> </w:t>
      </w:r>
      <w:r>
        <w:t xml:space="preserve">given Q1 momentum.</w:t>
      </w:r>
    </w:p>
    <w:p>
      <w:r>
        <w:pict>
          <v:rect style="width:0;height:1.5pt" o:hralign="center" o:hrstd="t" o:hr="t"/>
        </w:pict>
      </w:r>
    </w:p>
    <w:bookmarkEnd w:id="10"/>
    <w:bookmarkStart w:id="11" w:name="X1ce5cb1e8c8d771f4e5f74c4b43266a5329fdfe"/>
    <w:p>
      <w:pPr>
        <w:pStyle w:val="Heading2"/>
      </w:pPr>
      <w:r>
        <w:t xml:space="preserve">The metric that matters: the domain name base</w:t>
      </w:r>
    </w:p>
    <w:p>
      <w:pPr>
        <w:pStyle w:val="FirstParagraph"/>
      </w:pPr>
      <w:r>
        <w:t xml:space="preserve">This is the whole story. VeriSign spent 2023–24 in outright contraction; the base has now inflected sharply positive.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Quarter</w:t>
            </w:r>
          </w:p>
        </w:tc>
        <w:tc>
          <w:tcPr/>
          <w:p>
            <w:pPr>
              <w:pStyle w:val="Compact"/>
            </w:pPr>
            <w:r>
              <w:t xml:space="preserve">Ending base</w:t>
            </w:r>
          </w:p>
        </w:tc>
        <w:tc>
          <w:tcPr/>
          <w:p>
            <w:pPr>
              <w:pStyle w:val="Compact"/>
            </w:pPr>
            <w:r>
              <w:t xml:space="preserve">Net adds</w:t>
            </w:r>
          </w:p>
        </w:tc>
        <w:tc>
          <w:tcPr/>
          <w:p>
            <w:pPr>
              <w:pStyle w:val="Compact"/>
            </w:pPr>
            <w:r>
              <w:t xml:space="preserve">New regs</w:t>
            </w:r>
          </w:p>
        </w:tc>
        <w:tc>
          <w:tcPr/>
          <w:p>
            <w:pPr>
              <w:pStyle w:val="Compact"/>
            </w:pPr>
            <w:r>
              <w:t xml:space="preserve">Renewal rate</w:t>
            </w:r>
          </w:p>
        </w:tc>
      </w:tr>
      <w:tr>
        <w:tc>
          <w:tcPr/>
          <w:p>
            <w:pPr>
              <w:pStyle w:val="Compact"/>
            </w:pPr>
            <w:r>
              <w:t xml:space="preserve">Q2 2025</w:t>
            </w:r>
          </w:p>
        </w:tc>
        <w:tc>
          <w:tcPr/>
          <w:p>
            <w:pPr>
              <w:pStyle w:val="Compact"/>
            </w:pPr>
            <w:r>
              <w:t xml:space="preserve">170.5M</w:t>
            </w:r>
          </w:p>
        </w:tc>
        <w:tc>
          <w:tcPr/>
          <w:p>
            <w:pPr>
              <w:pStyle w:val="Compact"/>
            </w:pPr>
            <w:r>
              <w:t xml:space="preserve">+0.66M</w:t>
            </w:r>
          </w:p>
        </w:tc>
        <w:tc>
          <w:tcPr/>
          <w:p>
            <w:pPr>
              <w:pStyle w:val="Compact"/>
            </w:pPr>
            <w:r>
              <w:t xml:space="preserve">10.4M</w:t>
            </w:r>
          </w:p>
        </w:tc>
        <w:tc>
          <w:tcPr/>
          <w:p>
            <w:pPr>
              <w:pStyle w:val="Compact"/>
            </w:pPr>
            <w:r>
              <w:t xml:space="preserve">75.5% (Q1'25 final)</w:t>
            </w:r>
          </w:p>
        </w:tc>
      </w:tr>
      <w:tr>
        <w:tc>
          <w:tcPr/>
          <w:p>
            <w:pPr>
              <w:pStyle w:val="Compact"/>
            </w:pPr>
            <w:r>
              <w:t xml:space="preserve">Q1 2026</w:t>
            </w:r>
          </w:p>
        </w:tc>
        <w:tc>
          <w:tcPr/>
          <w:p>
            <w:pPr>
              <w:pStyle w:val="Compact"/>
            </w:pPr>
            <w:r>
              <w:rPr>
                <w:b/>
                <w:bCs/>
              </w:rPr>
              <w:t xml:space="preserve">176.1M</w:t>
            </w:r>
          </w:p>
        </w:tc>
        <w:tc>
          <w:tcPr/>
          <w:p>
            <w:pPr>
              <w:pStyle w:val="Compact"/>
            </w:pPr>
            <w:r>
              <w:rPr>
                <w:b/>
                <w:bCs/>
              </w:rPr>
              <w:t xml:space="preserve">+2.54M</w:t>
            </w:r>
          </w:p>
        </w:tc>
        <w:tc>
          <w:tcPr/>
          <w:p>
            <w:pPr>
              <w:pStyle w:val="Compact"/>
            </w:pPr>
            <w:r>
              <w:rPr>
                <w:b/>
                <w:bCs/>
              </w:rPr>
              <w:t xml:space="preserve">11.5M</w:t>
            </w:r>
          </w:p>
        </w:tc>
        <w:tc>
          <w:tcPr/>
          <w:p>
            <w:pPr>
              <w:pStyle w:val="Compact"/>
            </w:pPr>
            <w:r>
              <w:rPr>
                <w:b/>
                <w:bCs/>
              </w:rPr>
              <w:t xml:space="preserve">76.3%</w:t>
            </w:r>
            <w:r>
              <w:t xml:space="preserve"> </w:t>
            </w:r>
            <w:r>
              <w:t xml:space="preserve">(expected)</w:t>
            </w:r>
          </w:p>
        </w:tc>
      </w:tr>
    </w:tbl>
    <w:p>
      <w:pPr>
        <w:pStyle w:val="BodyText"/>
      </w:pPr>
      <w:r>
        <w:t xml:space="preserve">Q1 2026 was a standout: the base hit a record 176.1M (+3.7% YoY), new registrations were the strongest since 1H21, and the renewal rate ticked to ~76.3%. Management credited two tailwinds it says are hard to disentangle —</w:t>
      </w:r>
      <w:r>
        <w:t xml:space="preserve"> </w:t>
      </w:r>
      <w:r>
        <w:rPr>
          <w:b/>
          <w:bCs/>
        </w:rPr>
        <w:t xml:space="preserve">its retooled registrar marketing programs</w:t>
      </w:r>
      <w:r>
        <w:t xml:space="preserve"> </w:t>
      </w:r>
      <w:r>
        <w:t xml:space="preserve">(now ~2 years old) and an</w:t>
      </w:r>
      <w:r>
        <w:t xml:space="preserve"> </w:t>
      </w:r>
      <w:r>
        <w:rPr>
          <w:b/>
          <w:bCs/>
        </w:rPr>
        <w:t xml:space="preserve">AI tailwind</w:t>
      </w:r>
      <w:r>
        <w:t xml:space="preserve"> </w:t>
      </w:r>
      <w:r>
        <w:t xml:space="preserve">making it easier for end-users to find a name and stand up a website.</w:t>
      </w:r>
    </w:p>
    <w:p>
      <w:pPr>
        <w:pStyle w:val="BodyText"/>
      </w:pPr>
      <w:r>
        <w:rPr>
          <w:b/>
          <w:bCs/>
        </w:rPr>
        <w:t xml:space="preserve">Things to scrutinize in Q2:</w:t>
      </w:r>
    </w:p>
    <w:p>
      <w:pPr>
        <w:pStyle w:val="Compact"/>
        <w:numPr>
          <w:ilvl w:val="0"/>
          <w:numId w:val="1002"/>
        </w:numPr>
      </w:pPr>
      <w:r>
        <w:rPr>
          <w:b/>
          <w:bCs/>
        </w:rPr>
        <w:t xml:space="preserve">Net adds &amp; the guide.</w:t>
      </w:r>
      <w:r>
        <w:t xml:space="preserve"> </w:t>
      </w:r>
      <w:r>
        <w:t xml:space="preserve">Q2 is seasonally softer than Q1. A print that keeps the base tracking toward (or above) the 3.1–4.3% guide keeps the reacceleration thesis intact; a soft number reopens the "was this a one-off?" question.</w:t>
      </w:r>
    </w:p>
    <w:p>
      <w:pPr>
        <w:pStyle w:val="Compact"/>
        <w:numPr>
          <w:ilvl w:val="0"/>
          <w:numId w:val="1002"/>
        </w:numPr>
      </w:pPr>
      <w:r>
        <w:rPr>
          <w:b/>
          <w:bCs/>
        </w:rPr>
        <w:t xml:space="preserve">Renewal-rate cohort risk.</w:t>
      </w:r>
      <w:r>
        <w:t xml:space="preserve"> </w:t>
      </w:r>
      <w:r>
        <w:t xml:space="preserve">Management has flagged a</w:t>
      </w:r>
      <w:r>
        <w:t xml:space="preserve"> </w:t>
      </w:r>
      <w:r>
        <w:rPr>
          <w:b/>
          <w:bCs/>
        </w:rPr>
        <w:t xml:space="preserve">H2 2026 headwind</w:t>
      </w:r>
      <w:r>
        <w:t xml:space="preserve">: the strong H2 2025 new-reg vintages roll into their</w:t>
      </w:r>
      <w:r>
        <w:t xml:space="preserve"> </w:t>
      </w:r>
      <w:r>
        <w:rPr>
          <w:i/>
          <w:iCs/>
        </w:rPr>
        <w:t xml:space="preserve">first</w:t>
      </w:r>
      <w:r>
        <w:t xml:space="preserve"> </w:t>
      </w:r>
      <w:r>
        <w:t xml:space="preserve">renewal, and first-time renewals run only in the mid-40% range vs. mid-80s% for previously-renewed names. Watch commentary on how those cohorts are holding.</w:t>
      </w:r>
    </w:p>
    <w:p>
      <w:pPr>
        <w:pStyle w:val="Compact"/>
        <w:numPr>
          <w:ilvl w:val="0"/>
          <w:numId w:val="1002"/>
        </w:numPr>
      </w:pPr>
      <w:r>
        <w:rPr>
          <w:b/>
          <w:bCs/>
        </w:rPr>
        <w:t xml:space="preserve">Regional mix</w:t>
      </w:r>
      <w:r>
        <w:t xml:space="preserve"> </w:t>
      </w:r>
      <w:r>
        <w:t xml:space="preserve">(US and EMEA led in Q1) and any read on registrar promotional intensity, especially from largest customer GoDaddy.</w:t>
      </w:r>
    </w:p>
    <w:p>
      <w:r>
        <w:pict>
          <v:rect style="width:0;height:1.5pt" o:hralign="center" o:hrstd="t" o:hr="t"/>
        </w:pict>
      </w:r>
    </w:p>
    <w:bookmarkEnd w:id="11"/>
    <w:bookmarkStart w:id="12" w:name="Xe44f144c6839ce13da44f32d4f737df41d31a95"/>
    <w:p>
      <w:pPr>
        <w:pStyle w:val="Heading2"/>
      </w:pPr>
      <w:r>
        <w:t xml:space="preserve">Pricing: the .com increase and the .net optionality</w:t>
      </w:r>
    </w:p>
    <w:p>
      <w:pPr>
        <w:pStyle w:val="Compact"/>
        <w:numPr>
          <w:ilvl w:val="0"/>
          <w:numId w:val="1003"/>
        </w:numPr>
      </w:pPr>
      <w:r>
        <w:t xml:space="preserve">VeriSign announced a **.com wholesale price increase from $10.26 to</w:t>
      </w:r>
      <w:r>
        <w:t xml:space="preserve"> </w:t>
      </w:r>
      <m:oMath>
        <m:r>
          <m:t>10.97</m:t>
        </m:r>
        <m:r>
          <m:rPr>
            <m:sty m:val="p"/>
          </m:rPr>
          <m:t>*</m:t>
        </m:r>
        <m:r>
          <m:rPr>
            <m:sty m:val="p"/>
          </m:rPr>
          <m:t>*</m:t>
        </m:r>
        <m:r>
          <m:rPr>
            <m:sty m:val="p"/>
          </m:rPr>
          <m:t>(</m:t>
        </m:r>
        <m:r>
          <m:rPr>
            <m:sty m:val="p"/>
          </m:rPr>
          <m:t>+</m:t>
        </m:r>
      </m:oMath>
      <w:r>
        <w:t xml:space="preserve">0.71, ~6.9%),</w:t>
      </w:r>
      <w:r>
        <w:t xml:space="preserve"> </w:t>
      </w:r>
      <w:r>
        <w:rPr>
          <w:b/>
          <w:bCs/>
        </w:rPr>
        <w:t xml:space="preserve">effective November 1, 2026</w:t>
      </w:r>
      <w:r>
        <w:t xml:space="preserve"> </w:t>
      </w:r>
      <w:r>
        <w:t xml:space="preserve">— the first allowed increase since Feb 2024. Impact is largely a</w:t>
      </w:r>
      <w:r>
        <w:t xml:space="preserve"> </w:t>
      </w:r>
      <w:r>
        <w:rPr>
          <w:b/>
          <w:bCs/>
        </w:rPr>
        <w:t xml:space="preserve">2027 revenue tailwind</w:t>
      </w:r>
      <w:r>
        <w:t xml:space="preserve">; the near-term watch item is elasticity, which depends on whether registrars pass it through. Management framed the new price as ~$0.03/day.</w:t>
      </w:r>
    </w:p>
    <w:p>
      <w:pPr>
        <w:pStyle w:val="Compact"/>
        <w:numPr>
          <w:ilvl w:val="0"/>
          <w:numId w:val="1003"/>
        </w:numPr>
      </w:pPr>
      <w:r>
        <w:rPr>
          <w:b/>
          <w:bCs/>
        </w:rPr>
        <w:t xml:space="preserve">.net:</w:t>
      </w:r>
      <w:r>
        <w:t xml:space="preserve"> </w:t>
      </w:r>
      <w:r>
        <w:t xml:space="preserve">no increase announced yet, but VeriSign retains the right to raise .net up to 10% annually — a potential incremental lever if invoked.</w:t>
      </w:r>
    </w:p>
    <w:p>
      <w:r>
        <w:pict>
          <v:rect style="width:0;height:1.5pt" o:hralign="center" o:hrstd="t" o:hr="t"/>
        </w:pict>
      </w:r>
    </w:p>
    <w:bookmarkEnd w:id="12"/>
    <w:bookmarkStart w:id="13" w:name="other-catalysts--watch-items"/>
    <w:p>
      <w:pPr>
        <w:pStyle w:val="Heading2"/>
      </w:pPr>
      <w:r>
        <w:t xml:space="preserve">Other catalysts / watch items</w:t>
      </w:r>
    </w:p>
    <w:p>
      <w:pPr>
        <w:pStyle w:val="Compact"/>
        <w:numPr>
          <w:ilvl w:val="0"/>
          <w:numId w:val="1004"/>
        </w:numPr>
      </w:pPr>
      <w:r>
        <w:rPr>
          <w:b/>
          <w:bCs/>
        </w:rPr>
        <w:t xml:space="preserve">ICANN 2026 new gTLD round.</w:t>
      </w:r>
      <w:r>
        <w:t xml:space="preserve"> </w:t>
      </w:r>
      <w:r>
        <w:t xml:space="preserve">Application window is</w:t>
      </w:r>
      <w:r>
        <w:t xml:space="preserve"> </w:t>
      </w:r>
      <w:r>
        <w:rPr>
          <w:b/>
          <w:bCs/>
        </w:rPr>
        <w:t xml:space="preserve">April 30 – August 12, 2026</w:t>
      </w:r>
      <w:r>
        <w:t xml:space="preserve">. As of Q1, VeriSign was still "evaluating" whether to apply and taking technical steps to be ready. With the deadline landing just weeks after this print, expect pointed Q&amp;A. New TLDs from this round won't launch before ~2028.</w:t>
      </w:r>
    </w:p>
    <w:p>
      <w:pPr>
        <w:pStyle w:val="Compact"/>
        <w:numPr>
          <w:ilvl w:val="0"/>
          <w:numId w:val="1004"/>
        </w:numPr>
      </w:pPr>
      <w:r>
        <w:rPr>
          <w:b/>
          <w:bCs/>
        </w:rPr>
        <w:t xml:space="preserve">.web</w:t>
      </w:r>
      <w:r>
        <w:t xml:space="preserve"> </w:t>
      </w:r>
      <w:r>
        <w:t xml:space="preserve">remains an unlaunched asset VeriSign continues to pursue from the 2012 round — any status update is a bonus.</w:t>
      </w:r>
    </w:p>
    <w:p>
      <w:pPr>
        <w:pStyle w:val="Compact"/>
        <w:numPr>
          <w:ilvl w:val="0"/>
          <w:numId w:val="1004"/>
        </w:numPr>
      </w:pPr>
      <w:r>
        <w:rPr>
          <w:b/>
          <w:bCs/>
        </w:rPr>
        <w:t xml:space="preserve">New "high assurance" security services.</w:t>
      </w:r>
      <w:r>
        <w:t xml:space="preserve"> </w:t>
      </w:r>
      <w:r>
        <w:t xml:space="preserve">Management teased a series of blogs (starting shortly after Q1) rolling out enhanced security components synergistic with its DNS infrastructure. First real product/strategy color could come here — the closest thing to a new growth vector VRSN has offered in years.</w:t>
      </w:r>
    </w:p>
    <w:p>
      <w:pPr>
        <w:pStyle w:val="Compact"/>
        <w:numPr>
          <w:ilvl w:val="0"/>
          <w:numId w:val="1004"/>
        </w:numPr>
      </w:pPr>
      <w:r>
        <w:rPr>
          <w:b/>
          <w:bCs/>
        </w:rPr>
        <w:t xml:space="preserve">Capital return.</w:t>
      </w:r>
      <w:r>
        <w:t xml:space="preserve"> </w:t>
      </w:r>
      <w:r>
        <w:t xml:space="preserve">VeriSign returned &gt;100% of trailing-12-month FCF (</w:t>
      </w:r>
      <m:oMath>
        <m:r>
          <m:t>1.13</m:t>
        </m:r>
        <m:r>
          <m:t>B</m:t>
        </m:r>
        <m:r>
          <m:rPr>
            <m:sty m:val="p"/>
          </m:rPr>
          <m:t>)</m:t>
        </m:r>
        <m:r>
          <m:rPr>
            <m:sty m:val="p"/>
          </m:rPr>
          <m:t>.</m:t>
        </m:r>
        <m:r>
          <m:t>A</m:t>
        </m:r>
        <m:r>
          <m:t>t</m:t>
        </m:r>
        <m:r>
          <m:t>Q</m:t>
        </m:r>
        <m:r>
          <m:t>1</m:t>
        </m:r>
        <m:r>
          <m:rPr>
            <m:sty m:val="p"/>
          </m:rPr>
          <m:t>−</m:t>
        </m:r>
        <m:r>
          <m:t>e</m:t>
        </m:r>
        <m:r>
          <m:t>n</m:t>
        </m:r>
        <m:r>
          <m:t>d</m:t>
        </m:r>
        <m:r>
          <m:rPr>
            <m:sty m:val="p"/>
          </m:rPr>
          <m:t>,</m:t>
        </m:r>
        <m:r>
          <m:rPr>
            <m:sty m:val="p"/>
          </m:rPr>
          <m:t>*</m:t>
        </m:r>
        <m:r>
          <m:rPr>
            <m:sty m:val="p"/>
          </m:rPr>
          <m:t>*</m:t>
        </m:r>
      </m:oMath>
      <w:r>
        <w:t xml:space="preserve">863M remained** on the buyback (no expiration) and the dividend was</w:t>
      </w:r>
      <w:r>
        <w:t xml:space="preserve"> </w:t>
      </w:r>
      <w:r>
        <w:rPr>
          <w:b/>
          <w:bCs/>
        </w:rPr>
        <w:t xml:space="preserve">$0.81/quarter</w:t>
      </w:r>
      <w:r>
        <w:t xml:space="preserve"> </w:t>
      </w:r>
      <w:r>
        <w:t xml:space="preserve">(raised from the $0.77 initiated in mid-2025). Watch for the Q2 dividend declaration and buyback pace (Q1: $214M / 0.9M shares).</w:t>
      </w:r>
    </w:p>
    <w:p>
      <w:r>
        <w:pict>
          <v:rect style="width:0;height:1.5pt" o:hralign="center" o:hrstd="t" o:hr="t"/>
        </w:pict>
      </w:r>
    </w:p>
    <w:bookmarkEnd w:id="13"/>
    <w:bookmarkStart w:id="14" w:name="stock--positioning-context"/>
    <w:p>
      <w:pPr>
        <w:pStyle w:val="Heading2"/>
      </w:pPr>
      <w:r>
        <w:t xml:space="preserve">Stock &amp; positioning context</w:t>
      </w:r>
    </w:p>
    <w:p>
      <w:pPr>
        <w:pStyle w:val="Compact"/>
        <w:numPr>
          <w:ilvl w:val="0"/>
          <w:numId w:val="1005"/>
        </w:numPr>
      </w:pPr>
      <w:r>
        <w:t xml:space="preserve">Shares closed **</w:t>
      </w:r>
      <m:oMath>
        <m:r>
          <m:t>262.63</m:t>
        </m:r>
        <m:r>
          <m:t>o</m:t>
        </m:r>
        <m:r>
          <m:t>n</m:t>
        </m:r>
        <m:r>
          <m:t>J</m:t>
        </m:r>
        <m:r>
          <m:t>u</m:t>
        </m:r>
        <m:r>
          <m:t>l</m:t>
        </m:r>
        <m:r>
          <m:t>y</m:t>
        </m:r>
        <m:r>
          <m:t>22</m:t>
        </m:r>
        <m:r>
          <m:rPr>
            <m:sty m:val="p"/>
          </m:rPr>
          <m:t>*</m:t>
        </m:r>
        <m:r>
          <m:rPr>
            <m:sty m:val="p"/>
          </m:rPr>
          <m:t>*</m:t>
        </m:r>
        <m:r>
          <m:rPr>
            <m:sty m:val="p"/>
          </m:rPr>
          <m:t>,</m:t>
        </m:r>
        <m:r>
          <m:t>d</m:t>
        </m:r>
        <m:r>
          <m:t>o</m:t>
        </m:r>
        <m:r>
          <m:t>w</m:t>
        </m:r>
        <m:r>
          <m:t>n</m:t>
        </m:r>
        <m:r>
          <m:t> </m:t>
        </m:r>
        <m:r>
          <m:t>15</m:t>
        </m:r>
      </m:oMath>
      <w:r>
        <w:t xml:space="preserve">310 May 22 peak and roughly flat-to-down over the trailing year (~</w:t>
      </w:r>
      <m:oMath>
        <m:r>
          <m:t>289</m:t>
        </m:r>
        <m:r>
          <m:t>a</m:t>
        </m:r>
        <m:r>
          <m:t>y</m:t>
        </m:r>
        <m:r>
          <m:t>e</m:t>
        </m:r>
        <m:r>
          <m:t>a</m:t>
        </m:r>
        <m:r>
          <m:t>r</m:t>
        </m:r>
        <m:r>
          <m:t>a</m:t>
        </m:r>
        <m:r>
          <m:t>g</m:t>
        </m:r>
        <m:r>
          <m:t>o</m:t>
        </m:r>
        <m:r>
          <m:rPr>
            <m:sty m:val="p"/>
          </m:rPr>
          <m:t>)</m:t>
        </m:r>
        <m:r>
          <m:rPr>
            <m:sty m:val="p"/>
          </m:rPr>
          <m:t>.</m:t>
        </m:r>
        <m:r>
          <m:t>T</m:t>
        </m:r>
        <m:r>
          <m:t>h</m:t>
        </m:r>
        <m:r>
          <m:t>e</m:t>
        </m:r>
        <m:r>
          <m:t>2026</m:t>
        </m:r>
        <m:r>
          <m:t>r</m:t>
        </m:r>
        <m:r>
          <m:t>a</m:t>
        </m:r>
        <m:r>
          <m:t>n</m:t>
        </m:r>
        <m:r>
          <m:t>g</m:t>
        </m:r>
        <m:r>
          <m:t>e</m:t>
        </m:r>
        <m:r>
          <m:t>h</m:t>
        </m:r>
        <m:r>
          <m:t>a</m:t>
        </m:r>
        <m:r>
          <m:t>s</m:t>
        </m:r>
        <m:r>
          <m:t>r</m:t>
        </m:r>
        <m:r>
          <m:t>u</m:t>
        </m:r>
        <m:r>
          <m:t>n</m:t>
        </m:r>
        <m:r>
          <m:t>f</m:t>
        </m:r>
        <m:r>
          <m:t>r</m:t>
        </m:r>
        <m:r>
          <m:t>o</m:t>
        </m:r>
        <m:r>
          <m:t>m</m:t>
        </m:r>
        <m:r>
          <m:t> </m:t>
        </m:r>
      </m:oMath>
      <w:r>
        <w:t xml:space="preserve">211 (February) to ~$310 (May).</w:t>
      </w:r>
    </w:p>
    <w:p>
      <w:pPr>
        <w:pStyle w:val="Compact"/>
        <w:numPr>
          <w:ilvl w:val="0"/>
          <w:numId w:val="1005"/>
        </w:numPr>
      </w:pPr>
      <w:r>
        <w:t xml:space="preserve">Valuation remains full — a forward P/E in the high-20s reflects the low-risk, mature annuity profile, which caps upside per some sell-side views. Sell-side coverage is thin, generally constructive, with price targets clustered around the high-</w:t>
      </w:r>
      <m:oMath>
        <m:r>
          <m:t>280</m:t>
        </m:r>
        <m:r>
          <m:t>s</m:t>
        </m:r>
        <m:r>
          <m:t>t</m:t>
        </m:r>
        <m:r>
          <m:t>o</m:t>
        </m:r>
        <m:r>
          <m:t> </m:t>
        </m:r>
      </m:oMath>
      <w:r>
        <w:t xml:space="preserve">300.</w:t>
      </w:r>
    </w:p>
    <w:p>
      <w:pPr>
        <w:pStyle w:val="Compact"/>
        <w:numPr>
          <w:ilvl w:val="0"/>
          <w:numId w:val="1005"/>
        </w:numPr>
      </w:pPr>
      <w:r>
        <w:rPr>
          <w:b/>
          <w:bCs/>
        </w:rPr>
        <w:t xml:space="preserve">Overhangs to keep in mind:</w:t>
      </w:r>
      <w:r>
        <w:t xml:space="preserve"> </w:t>
      </w:r>
      <w:r>
        <w:t xml:space="preserve">(1)</w:t>
      </w:r>
      <w:r>
        <w:t xml:space="preserve"> </w:t>
      </w:r>
      <w:r>
        <w:rPr>
          <w:b/>
          <w:bCs/>
        </w:rPr>
        <w:t xml:space="preserve">Berkshire Hathaway</w:t>
      </w:r>
      <w:r>
        <w:t xml:space="preserve"> </w:t>
      </w:r>
      <w:r>
        <w:t xml:space="preserve">cut its long-held stake below 10% in 2025, removing a marginal buyer and periodically pressuring shares; (2) steady, pre-planned</w:t>
      </w:r>
      <w:r>
        <w:t xml:space="preserve"> </w:t>
      </w:r>
      <w:r>
        <w:rPr>
          <w:b/>
          <w:bCs/>
        </w:rPr>
        <w:t xml:space="preserve">insider selling</w:t>
      </w:r>
      <w:r>
        <w:t xml:space="preserve"> </w:t>
      </w:r>
      <w:r>
        <w:t xml:space="preserve">by Exec. Chairman/CEO Jim Bidzos and other officers continued into July (routine 10b5-1 sales, not a signal on their own).</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P&amp;L will almost certainly land near consensus (~</w:t>
      </w:r>
      <m:oMath>
        <m:r>
          <m:t>2.40</m:t>
        </m:r>
        <m:r>
          <m:t>E</m:t>
        </m:r>
        <m:r>
          <m:t>P</m:t>
        </m:r>
        <m:r>
          <m:t>S</m:t>
        </m:r>
        <m:r>
          <m:t>o</m:t>
        </m:r>
        <m:r>
          <m:t>n</m:t>
        </m:r>
        <m:r>
          <m:t> </m:t>
        </m:r>
      </m:oMath>
      <w:r>
        <w:t xml:space="preserve">433M) — that's the nature of the model. The report's information content is in</w:t>
      </w:r>
      <w:r>
        <w:t xml:space="preserve"> </w:t>
      </w:r>
      <w:r>
        <w:rPr>
          <w:b/>
          <w:bCs/>
        </w:rPr>
        <w:t xml:space="preserve">(1) whether domain-base net adds and the FY growth guide confirm the reacceleration is structural rather than promo-driven, (2) first-time renewal cohort behavior heading into the H2 headwind, and (3) any decision/color on the ICANN 2026 round and the new security-services roadmap.</w:t>
      </w:r>
      <w:r>
        <w:t xml:space="preserve"> </w:t>
      </w:r>
      <w:r>
        <w:t xml:space="preserve">With the stock ~15% off its highs and a Berkshire overhang lingering, a clean beat-and-raise on the domain metrics is what bulls need; a soft net-add number plus renewal caution is the bear case.</w:t>
      </w:r>
    </w:p>
    <w:p>
      <w:pPr>
        <w:pStyle w:val="BodyText"/>
      </w:pPr>
      <w:r>
        <w:rPr>
          <w:i/>
          <w:iCs/>
        </w:rPr>
        <w:t xml:space="preserve">Note: figures above are drawn from VeriSign's Q1 2026 and Q2 2025 releases/calls, third-party consensus estimates, and market data; consensus figures are approximate and vary by source.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2026-07-23T01:00:32Z</dcterms:created>
  <dcterms:modified xsi:type="dcterms:W3CDTF">2026-07-23T01:00:32Z</dcterms:modified>
</cp:coreProperties>
</file>

<file path=docProps/custom.xml><?xml version="1.0" encoding="utf-8"?>
<Properties xmlns="http://schemas.openxmlformats.org/officeDocument/2006/custom-properties" xmlns:vt="http://schemas.openxmlformats.org/officeDocument/2006/docPropsVTypes"/>
</file>