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dig into the Q1 earnings call transcript and release for guidance, plus check domain name industry data and stock price trends.I have enough now. Let me also quickly check Buffett/Berkshire ownership status (historically a notable holder) and any very recent (last few days) news specific to VRSN, plus double-check current price and 52-week range.I now have solid material. Let me write the earnings preview.# VeriSign (VRSN) — Q2 2026 Earnings Preview</w:t>
      </w:r>
      <w:r>
        <w:t xml:space="preserve"> </w:t>
      </w:r>
      <w:r>
        <w:rPr>
          <w:b/>
          <w:bCs/>
        </w:rPr>
        <w:t xml:space="preserve">Report date:</w:t>
      </w:r>
      <w:r>
        <w:t xml:space="preserve"> </w:t>
      </w:r>
      <w:r>
        <w:t xml:space="preserve">Thursday, July 23, 2026, after market close | Call: 4:30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VeriSign shares have been volatile into this report, trading around</w:t>
      </w:r>
      <w:r>
        <w:t xml:space="preserve"> </w:t>
      </w:r>
      <m:oMath>
        <m:r>
          <m:t>262</m:t>
        </m:r>
        <m:r>
          <m:rPr>
            <m:sty m:val="p"/>
          </m:rPr>
          <m:t>−</m:t>
        </m:r>
        <m:r>
          <m:t>263</m:t>
        </m:r>
        <m:r>
          <m:rPr>
            <m:sty m:val="p"/>
          </m:rPr>
          <m:t>*</m:t>
        </m:r>
        <m:r>
          <m:rPr>
            <m:sty m:val="p"/>
          </m:rPr>
          <m:t>*</m:t>
        </m:r>
        <m:r>
          <m:t>a</m:t>
        </m:r>
        <m:r>
          <m:t>s</m:t>
        </m:r>
        <m:r>
          <m:t>o</m:t>
        </m:r>
        <m:r>
          <m:t>f</m:t>
        </m:r>
        <m:r>
          <m:t>J</m:t>
        </m:r>
        <m:r>
          <m:t>u</m:t>
        </m:r>
        <m:r>
          <m:t>l</m:t>
        </m:r>
        <m:r>
          <m:t>y</m:t>
        </m:r>
        <m:r>
          <m:t>22</m:t>
        </m:r>
        <m:r>
          <m:rPr>
            <m:sty m:val="p"/>
          </m:rPr>
          <m:t>,</m:t>
        </m:r>
        <m:r>
          <m:t>w</m:t>
        </m:r>
        <m:r>
          <m:t>e</m:t>
        </m:r>
        <m:r>
          <m:t>l</m:t>
        </m:r>
        <m:r>
          <m:t>l</m:t>
        </m:r>
        <m:r>
          <m:t>o</m:t>
        </m:r>
        <m:r>
          <m:t>f</m:t>
        </m:r>
        <m:r>
          <m:t>f</m:t>
        </m:r>
        <m:r>
          <m:t>t</m:t>
        </m:r>
        <m:r>
          <m:t>h</m:t>
        </m:r>
        <m:r>
          <m:t>e</m:t>
        </m:r>
        <m:r>
          <m:rPr>
            <m:sty m:val="p"/>
          </m:rPr>
          <m:t>*</m:t>
        </m:r>
        <m:r>
          <m:rPr>
            <m:sty m:val="p"/>
          </m:rPr>
          <m:t>*</m:t>
        </m:r>
        <m:r>
          <m:t> </m:t>
        </m:r>
      </m:oMath>
      <w:r>
        <w:rPr>
          <w:b/>
          <w:bCs/>
        </w:rPr>
        <w:t xml:space="preserve">310</w:t>
      </w:r>
      <w:r>
        <w:t xml:space="preserve"> </w:t>
      </w:r>
      <w:r>
        <w:t xml:space="preserve">high hit in late May but still up modestly year-to-date from ~$240 in early January. The stock has underperformed the broader market over the past year as investors weigh a resilient, cash-generative registry business against a longer-term AI-disruption narrative and a looming (though not imminent) regulatory contract renewal.</w:t>
      </w:r>
    </w:p>
    <w:p>
      <w:pPr>
        <w:pStyle w:val="BodyText"/>
      </w:pPr>
      <w:r>
        <w:t xml:space="preserve">Consensus estimates for Q2 2026 sit at roughly</w:t>
      </w:r>
      <w:r>
        <w:t xml:space="preserve"> </w:t>
      </w:r>
      <m:oMath>
        <m:r>
          <m:t>2.42</m:t>
        </m:r>
        <m:r>
          <m:t>E</m:t>
        </m:r>
        <m:r>
          <m:t>P</m:t>
        </m:r>
        <m:r>
          <m:t>S</m:t>
        </m:r>
        <m:r>
          <m:t>o</m:t>
        </m:r>
        <m:r>
          <m:t>n</m:t>
        </m:r>
        <m:r>
          <m:t> </m:t>
        </m:r>
      </m:oMath>
      <w:r>
        <w:rPr>
          <w:b/>
          <w:bCs/>
        </w:rPr>
        <w:t xml:space="preserve">433.2 million of revenue</w:t>
      </w:r>
      <w:r>
        <w:t xml:space="preserve">, which would represent high-single-digit EPS growth against the</w:t>
      </w:r>
      <w:r>
        <w:t xml:space="preserve"> </w:t>
      </w:r>
      <w:r>
        <w:rPr>
          <w:b/>
          <w:bCs/>
        </w:rPr>
        <w:t xml:space="preserve">$2.21</w:t>
      </w:r>
      <w:r>
        <w:t xml:space="preserve"> </w:t>
      </w:r>
      <w:r>
        <w:t xml:space="preserve">EPS VeriSign posted in Q2 2025. VeriSign has a recent track record of modestly beating: it topped Q1 2026 consensus EPS of</w:t>
      </w:r>
      <w:r>
        <w:t xml:space="preserve"> </w:t>
      </w:r>
      <m:oMath>
        <m:r>
          <m:t>2.30</m:t>
        </m:r>
        <m:r>
          <m:t>b</m:t>
        </m:r>
        <m:r>
          <m:t>y</m:t>
        </m:r>
        <m:r>
          <m:t>p</m:t>
        </m:r>
        <m:r>
          <m:t>o</m:t>
        </m:r>
        <m:r>
          <m:t>s</m:t>
        </m:r>
        <m:r>
          <m:t>t</m:t>
        </m:r>
        <m:r>
          <m:t>i</m:t>
        </m:r>
        <m:r>
          <m:t>n</m:t>
        </m:r>
        <m:r>
          <m:t>g</m:t>
        </m:r>
        <m:r>
          <m:rPr>
            <m:sty m:val="p"/>
          </m:rPr>
          <m:t>*</m:t>
        </m:r>
        <m:r>
          <m:rPr>
            <m:sty m:val="p"/>
          </m:rPr>
          <m:t>*</m:t>
        </m:r>
      </m:oMath>
      <w:r>
        <w:t xml:space="preserve">2.34**, and beat revenue consensus of</w:t>
      </w:r>
      <w:r>
        <w:t xml:space="preserve"> </w:t>
      </w:r>
      <m:oMath>
        <m:r>
          <m:t>424.5</m:t>
        </m:r>
        <m:r>
          <m:t>m</m:t>
        </m:r>
        <m:r>
          <m:t>i</m:t>
        </m:r>
        <m:r>
          <m:t>l</m:t>
        </m:r>
        <m:r>
          <m:t>l</m:t>
        </m:r>
        <m:r>
          <m:t>i</m:t>
        </m:r>
        <m:r>
          <m:t>o</m:t>
        </m:r>
        <m:r>
          <m:t>n</m:t>
        </m:r>
        <m:r>
          <m:t>w</m:t>
        </m:r>
        <m:r>
          <m:t>i</m:t>
        </m:r>
        <m:r>
          <m:t>t</m:t>
        </m:r>
        <m:r>
          <m:t>h</m:t>
        </m:r>
        <m:r>
          <m:rPr>
            <m:sty m:val="p"/>
          </m:rPr>
          <m:t>*</m:t>
        </m:r>
        <m:r>
          <m:rPr>
            <m:sty m:val="p"/>
          </m:rPr>
          <m:t>*</m:t>
        </m:r>
      </m:oMath>
      <w:r>
        <w:t xml:space="preserve">428.9 million**.</w:t>
      </w:r>
    </w:p>
    <w:bookmarkEnd w:id="9"/>
    <w:bookmarkStart w:id="10" w:name="X223f82275284bcf981f24ae72d96762b39a7e0e"/>
    <w:p>
      <w:pPr>
        <w:pStyle w:val="Heading2"/>
      </w:pPr>
      <w:r>
        <w:t xml:space="preserve">What Happened Last Quarter (Q1 2026) — The Baseline</w:t>
      </w:r>
    </w:p>
    <w:p>
      <w:pPr>
        <w:pStyle w:val="FirstParagraph"/>
      </w:pPr>
      <w:r>
        <w:t xml:space="preserve">VeriSign's first quarter was strong on essentially every operating metric:</w:t>
      </w:r>
    </w:p>
    <w:p>
      <w:pPr>
        <w:pStyle w:val="Compact"/>
        <w:numPr>
          <w:ilvl w:val="0"/>
          <w:numId w:val="1001"/>
        </w:numPr>
      </w:pPr>
      <w:r>
        <w:t xml:space="preserve">revenue was up 6.6% year-over-year and EPS increased 11.4% year-over-year</w:t>
      </w:r>
    </w:p>
    <w:p>
      <w:pPr>
        <w:pStyle w:val="Compact"/>
        <w:numPr>
          <w:ilvl w:val="0"/>
          <w:numId w:val="1001"/>
        </w:numPr>
      </w:pPr>
      <w:r>
        <w:t xml:space="preserve">The combined .com and .net domain name base is now at a record 176.1 million names. New registrations are the largest we have seen since the first half of 2021, combined with very strong renewal rates.</w:t>
      </w:r>
    </w:p>
    <w:p>
      <w:pPr>
        <w:pStyle w:val="Compact"/>
        <w:numPr>
          <w:ilvl w:val="0"/>
          <w:numId w:val="1001"/>
        </w:numPr>
      </w:pPr>
      <w:r>
        <w:t xml:space="preserve">New registrations for the first quarter were 11.5 million compared with 10.7 million last quarter and 10.1 million for the first quarter of last year. The renewal rate for the first quarter of 2026 is expected to be 76.3% compared to 75.5% a year ago.</w:t>
      </w:r>
    </w:p>
    <w:p>
      <w:pPr>
        <w:pStyle w:val="Compact"/>
        <w:numPr>
          <w:ilvl w:val="0"/>
          <w:numId w:val="1001"/>
        </w:numPr>
      </w:pPr>
      <w:r>
        <w:t xml:space="preserve">Management pointed to demand drivers beyond its own marketing efforts: "We see ongoing registrar focus on customer acquisition and engagement with our marketing programs. Also, we see a positive impact from AI tools, which make content and website creation faster and easier."</w:t>
      </w:r>
    </w:p>
    <w:p>
      <w:pPr>
        <w:pStyle w:val="FirstParagraph"/>
      </w:pPr>
      <w:r>
        <w:t xml:space="preserve">Given that strength, VeriSign</w:t>
      </w:r>
      <w:r>
        <w:t xml:space="preserve"> </w:t>
      </w:r>
      <w:r>
        <w:rPr>
          <w:b/>
          <w:bCs/>
        </w:rPr>
        <w:t xml:space="preserve">raised and narrowed full-year 2026 domain name base growth guidance to 3.1%–4.3%</w:t>
      </w:r>
      <w:r>
        <w:t xml:space="preserve">, and updated full-year financial guidance to:</w:t>
      </w:r>
    </w:p>
    <w:p>
      <w:pPr>
        <w:pStyle w:val="Compact"/>
        <w:numPr>
          <w:ilvl w:val="0"/>
          <w:numId w:val="1002"/>
        </w:numPr>
      </w:pPr>
      <w:r>
        <w:t xml:space="preserve">Revenue:</w:t>
      </w:r>
      <w:r>
        <w:t xml:space="preserve"> </w:t>
      </w:r>
      <m:oMath>
        <m:r>
          <m:t>1.730</m:t>
        </m:r>
        <m:r>
          <m:t>B</m:t>
        </m:r>
        <m:r>
          <m:rPr>
            <m:sty m:val="p"/>
          </m:rPr>
          <m:t>–</m:t>
        </m:r>
      </m:oMath>
      <w:r>
        <w:rPr>
          <w:b/>
          <w:bCs/>
        </w:rPr>
        <w:t xml:space="preserve">1.745B</w:t>
      </w:r>
    </w:p>
    <w:p>
      <w:pPr>
        <w:pStyle w:val="Compact"/>
        <w:numPr>
          <w:ilvl w:val="0"/>
          <w:numId w:val="1002"/>
        </w:numPr>
      </w:pPr>
      <w:r>
        <w:t xml:space="preserve">Operating income:</w:t>
      </w:r>
      <w:r>
        <w:t xml:space="preserve"> </w:t>
      </w:r>
      <m:oMath>
        <m:r>
          <m:t>1.170</m:t>
        </m:r>
        <m:r>
          <m:t>B</m:t>
        </m:r>
        <m:r>
          <m:rPr>
            <m:sty m:val="p"/>
          </m:rPr>
          <m:t>–</m:t>
        </m:r>
      </m:oMath>
      <w:r>
        <w:rPr>
          <w:b/>
          <w:bCs/>
        </w:rPr>
        <w:t xml:space="preserve">1.185B</w:t>
      </w:r>
    </w:p>
    <w:p>
      <w:pPr>
        <w:pStyle w:val="Compact"/>
        <w:numPr>
          <w:ilvl w:val="0"/>
          <w:numId w:val="1002"/>
        </w:numPr>
      </w:pPr>
      <w:r>
        <w:t xml:space="preserve">Interest/non-op expense:</w:t>
      </w:r>
      <w:r>
        <w:t xml:space="preserve"> </w:t>
      </w:r>
      <m:oMath>
        <m:r>
          <m:t>57</m:t>
        </m:r>
        <m:r>
          <m:t>M</m:t>
        </m:r>
        <m:r>
          <m:rPr>
            <m:sty m:val="p"/>
          </m:rPr>
          <m:t>–</m:t>
        </m:r>
      </m:oMath>
      <w:r>
        <w:rPr>
          <w:b/>
          <w:bCs/>
        </w:rPr>
        <w:t xml:space="preserve">67M</w:t>
      </w:r>
    </w:p>
    <w:p>
      <w:pPr>
        <w:pStyle w:val="Compact"/>
        <w:numPr>
          <w:ilvl w:val="0"/>
          <w:numId w:val="1002"/>
        </w:numPr>
      </w:pPr>
      <w:r>
        <w:t xml:space="preserve">Capex:</w:t>
      </w:r>
      <w:r>
        <w:t xml:space="preserve"> </w:t>
      </w:r>
      <m:oMath>
        <m:r>
          <m:t>55</m:t>
        </m:r>
        <m:r>
          <m:t>M</m:t>
        </m:r>
        <m:r>
          <m:rPr>
            <m:sty m:val="p"/>
          </m:rPr>
          <m:t>–</m:t>
        </m:r>
      </m:oMath>
      <w:r>
        <w:rPr>
          <w:b/>
          <w:bCs/>
        </w:rPr>
        <w:t xml:space="preserve">65M</w:t>
      </w:r>
    </w:p>
    <w:p>
      <w:pPr>
        <w:pStyle w:val="Compact"/>
        <w:numPr>
          <w:ilvl w:val="0"/>
          <w:numId w:val="1002"/>
        </w:numPr>
      </w:pPr>
      <w:r>
        <w:t xml:space="preserve">Tax rate:</w:t>
      </w:r>
      <w:r>
        <w:t xml:space="preserve"> </w:t>
      </w:r>
      <w:r>
        <w:rPr>
          <w:b/>
          <w:bCs/>
        </w:rPr>
        <w:t xml:space="preserve">22%–25%</w:t>
      </w:r>
    </w:p>
    <w:p>
      <w:pPr>
        <w:pStyle w:val="FirstParagraph"/>
      </w:pPr>
      <w:r>
        <w:t xml:space="preserve">Capital returns remain aggressive: "After seeing to the needs of our operations, we returned over 100% of our free cash flow to the investing public in the last 12 months for a total of</w:t>
      </w:r>
      <w:r>
        <w:t xml:space="preserve"> </w:t>
      </w:r>
      <w:r>
        <w:t xml:space="preserve">$1.13 billion through share repurchases and dividends." The company also declared its regular **$</w:t>
      </w:r>
      <w:r>
        <w:t xml:space="preserve">0.81/share quarterly dividend** and had</w:t>
      </w:r>
      <w:r>
        <w:t xml:space="preserve"> </w:t>
      </w:r>
      <w:r>
        <w:rPr>
          <w:b/>
          <w:bCs/>
        </w:rPr>
        <w:t xml:space="preserve">$863 million</w:t>
      </w:r>
      <w:r>
        <w:t xml:space="preserve"> </w:t>
      </w:r>
      <w:r>
        <w:t xml:space="preserve">remaining under its open-ended buyback authorization as of March 31.</w:t>
      </w:r>
    </w:p>
    <w:bookmarkEnd w:id="10"/>
    <w:bookmarkStart w:id="11" w:name="key-things-to-watch-in-the-q2-print"/>
    <w:p>
      <w:pPr>
        <w:pStyle w:val="Heading2"/>
      </w:pPr>
      <w:r>
        <w:t xml:space="preserve">Key Things to Watch in the Q2 Print</w:t>
      </w:r>
    </w:p>
    <w:p>
      <w:pPr>
        <w:pStyle w:val="FirstParagraph"/>
      </w:pPr>
      <w:r>
        <w:rPr>
          <w:b/>
          <w:bCs/>
        </w:rPr>
        <w:t xml:space="preserve">1. Domain name base trajectory.</w:t>
      </w:r>
      <w:r>
        <w:t xml:space="preserve"> </w:t>
      </w:r>
      <w:r>
        <w:t xml:space="preserve">The Q1 base of 176.1 million names grew 2.54 million sequentially. Investors will watch whether new-registration momentum (11.5M in Q1, the best since H1 2021) continued into Q2, and whether the 3.1%-4.3% full-year base-growth guidance gets reaffirmed, raised, or tempered.</w:t>
      </w:r>
    </w:p>
    <w:p>
      <w:pPr>
        <w:pStyle w:val="BodyText"/>
      </w:pPr>
      <w:r>
        <w:rPr>
          <w:b/>
          <w:bCs/>
        </w:rPr>
        <w:t xml:space="preserve">2. Renewal rate cohort dynamics.</w:t>
      </w:r>
      <w:r>
        <w:t xml:space="preserve"> </w:t>
      </w:r>
      <w:r>
        <w:t xml:space="preserve">Management flagged a nuance worth tracking: "the strength of new registrations in the second half of 2025 will present a little bit of a challenge this year because we'll have a higher proportion of first-time renewing names through the second half of 2026," since "our overall first-time renewals are still averaging in the mid-40% range" while "previously renewed names are in the mid-80% range." Watch commentary on how this mix shift is trending.</w:t>
      </w:r>
    </w:p>
    <w:p>
      <w:pPr>
        <w:pStyle w:val="BodyText"/>
      </w:pPr>
      <w:r>
        <w:rPr>
          <w:b/>
          <w:bCs/>
        </w:rPr>
        <w:t xml:space="preserve">3. .com price increase follow-through.</w:t>
      </w:r>
      <w:r>
        <w:t xml:space="preserve"> </w:t>
      </w:r>
      <w:r>
        <w:t xml:space="preserve">VeriSign gave notice of a</w:t>
      </w:r>
      <w:r>
        <w:t xml:space="preserve"> </w:t>
      </w:r>
      <w:r>
        <w:rPr>
          <w:b/>
          <w:bCs/>
        </w:rPr>
        <w:t xml:space="preserve">$0.71 wholesale price increase (to $10.97/year) effective November 1, 2026</w:t>
      </w:r>
      <w:r>
        <w:t xml:space="preserve"> </w:t>
      </w:r>
      <w:r>
        <w:t xml:space="preserve">— its first since the February 2024 notice. Q2 commentary on registrar pricing behavior and any early read-through to renewal/registration elasticity will matter, though management downplayed the impact, noting the increase "works out to about $0.03 a day" for registrants. No .net price increase has been announced yet.</w:t>
      </w:r>
    </w:p>
    <w:p>
      <w:pPr>
        <w:pStyle w:val="BodyText"/>
      </w:pPr>
      <w:r>
        <w:rPr>
          <w:b/>
          <w:bCs/>
        </w:rPr>
        <w:t xml:space="preserve">4. AI as tailwind vs. long-term threat.</w:t>
      </w:r>
      <w:r>
        <w:t xml:space="preserve"> </w:t>
      </w:r>
      <w:r>
        <w:t xml:space="preserve">This is the dominant investor debate. Near term, management and the sell-side view AI website-building tools as a registration tailwind, but there's a broader worry that AI agents/chatbots reduce reliance on typed URLs and browser navigation over time — a theme actively being debated by analysts covering the name. Any updated management framing on this (including the promised "high assurance infrastructure" and new security-service blog series flagged on the Q1 call) will be watched closely.</w:t>
      </w:r>
    </w:p>
    <w:p>
      <w:pPr>
        <w:pStyle w:val="BodyText"/>
      </w:pPr>
      <w:r>
        <w:rPr>
          <w:b/>
          <w:bCs/>
        </w:rPr>
        <w:t xml:space="preserve">5. New gTLD (ICANN) round.</w:t>
      </w:r>
      <w:r>
        <w:t xml:space="preserve"> </w:t>
      </w:r>
      <w:r>
        <w:t xml:space="preserve">The application window for ICANN's new generic top-level domain round — the first since 2012 — opened around end of April 2026 and doesn't close until</w:t>
      </w:r>
      <w:r>
        <w:t xml:space="preserve"> </w:t>
      </w:r>
      <w:r>
        <w:rPr>
          <w:b/>
          <w:bCs/>
        </w:rPr>
        <w:t xml:space="preserve">August 12, 2026</w:t>
      </w:r>
      <w:r>
        <w:t xml:space="preserve">. VeriSign said it is "taking the necessary technical steps to be ready should we choose to be an applicant" but had not committed as of Q1. An update on VeriSign's participation decision (and any color on the long-pursued</w:t>
      </w:r>
      <w:r>
        <w:t xml:space="preserve"> </w:t>
      </w:r>
      <w:r>
        <w:rPr>
          <w:b/>
          <w:bCs/>
        </w:rPr>
        <w:t xml:space="preserve">.web</w:t>
      </w:r>
      <w:r>
        <w:t xml:space="preserve"> </w:t>
      </w:r>
      <w:r>
        <w:t xml:space="preserve">TLD from the 2012 round) could surface on this call.</w:t>
      </w:r>
    </w:p>
    <w:p>
      <w:pPr>
        <w:pStyle w:val="BodyText"/>
      </w:pPr>
      <w:r>
        <w:rPr>
          <w:b/>
          <w:bCs/>
        </w:rPr>
        <w:t xml:space="preserve">6. Longer-dated contract renewals.</w:t>
      </w:r>
      <w:r>
        <w:t xml:space="preserve"> </w:t>
      </w:r>
      <w:r>
        <w:t xml:space="preserve">Not a near-term catalyst, but increasingly discussed: VeriSign's</w:t>
      </w:r>
      <w:r>
        <w:t xml:space="preserve"> </w:t>
      </w:r>
      <w:r>
        <w:rPr>
          <w:b/>
          <w:bCs/>
        </w:rPr>
        <w:t xml:space="preserve">.net and .com registry contracts with regulators run through 2029 and 2030, respectively</w:t>
      </w:r>
      <w:r>
        <w:t xml:space="preserve"> </w:t>
      </w:r>
      <w:r>
        <w:t xml:space="preserve">— a distant but real overhang some investors flag alongside the AI-disruption debate.</w:t>
      </w:r>
    </w:p>
    <w:p>
      <w:pPr>
        <w:pStyle w:val="BodyText"/>
      </w:pPr>
      <w:r>
        <w:rPr>
          <w:b/>
          <w:bCs/>
        </w:rPr>
        <w:t xml:space="preserve">7. Capital allocation.</w:t>
      </w:r>
      <w:r>
        <w:t xml:space="preserve"> </w:t>
      </w:r>
      <w:r>
        <w:t xml:space="preserve">Watch for continued buyback pace against the $863M authorization, the next quarterly dividend declaration, and any incremental commentary on the $556M cash/marketable securities balance and $1.79B of long-term senior notes on the balance sheet.</w:t>
      </w:r>
    </w:p>
    <w:bookmarkEnd w:id="11"/>
    <w:bookmarkStart w:id="12" w:name="sentiment--positioning"/>
    <w:p>
      <w:pPr>
        <w:pStyle w:val="Heading2"/>
      </w:pPr>
      <w:r>
        <w:t xml:space="preserve">Sentiment &amp; Positioning</w:t>
      </w:r>
    </w:p>
    <w:p>
      <w:pPr>
        <w:pStyle w:val="Compact"/>
        <w:numPr>
          <w:ilvl w:val="0"/>
          <w:numId w:val="1003"/>
        </w:numPr>
      </w:pPr>
      <w:r>
        <w:t xml:space="preserve">Sell-side sentiment is described as</w:t>
      </w:r>
      <w:r>
        <w:t xml:space="preserve"> </w:t>
      </w:r>
      <w:r>
        <w:rPr>
          <w:b/>
          <w:bCs/>
        </w:rPr>
        <w:t xml:space="preserve">"cautiously optimistic"</w:t>
      </w:r>
      <w:r>
        <w:t xml:space="preserve"> </w:t>
      </w:r>
      <w:r>
        <w:t xml:space="preserve">with a consensus around</w:t>
      </w:r>
      <w:r>
        <w:t xml:space="preserve"> </w:t>
      </w:r>
      <w:r>
        <w:rPr>
          <w:b/>
          <w:bCs/>
        </w:rPr>
        <w:t xml:space="preserve">Moderate Buy/Buy</w:t>
      </w:r>
      <w:r>
        <w:t xml:space="preserve">; price targets cluster roughly in the</w:t>
      </w:r>
      <w:r>
        <w:t xml:space="preserve"> </w:t>
      </w:r>
      <m:oMath>
        <m:r>
          <m:t>280</m:t>
        </m:r>
        <m:r>
          <m:rPr>
            <m:sty m:val="p"/>
          </m:rPr>
          <m:t>–</m:t>
        </m:r>
      </m:oMath>
      <w:r>
        <w:rPr>
          <w:b/>
          <w:bCs/>
        </w:rPr>
        <w:t xml:space="preserve">330</w:t>
      </w:r>
      <w:r>
        <w:t xml:space="preserve"> </w:t>
      </w:r>
      <w:r>
        <w:t xml:space="preserve">range across various trackers, with JPMorgan raising its target to</w:t>
      </w:r>
      <w:r>
        <w:t xml:space="preserve"> </w:t>
      </w:r>
      <w:r>
        <w:rPr>
          <w:b/>
          <w:bCs/>
        </w:rPr>
        <w:t xml:space="preserve">$308</w:t>
      </w:r>
      <w:r>
        <w:t xml:space="preserve"> </w:t>
      </w:r>
      <w:r>
        <w:t xml:space="preserve">(Neutral) in mid-June.</w:t>
      </w:r>
    </w:p>
    <w:p>
      <w:pPr>
        <w:pStyle w:val="Compact"/>
        <w:numPr>
          <w:ilvl w:val="0"/>
          <w:numId w:val="1003"/>
        </w:numPr>
      </w:pPr>
      <w:r>
        <w:rPr>
          <w:b/>
          <w:bCs/>
        </w:rPr>
        <w:t xml:space="preserve">Berkshire Hathaway</w:t>
      </w:r>
      <w:r>
        <w:t xml:space="preserve"> </w:t>
      </w:r>
      <w:r>
        <w:t xml:space="preserve">remains a large, well-known long-term holder (historically near a mid-teens percentage stake), a factor often cited as a quality/stability signal for the stock.</w:t>
      </w:r>
    </w:p>
    <w:p>
      <w:pPr>
        <w:pStyle w:val="Compact"/>
        <w:numPr>
          <w:ilvl w:val="0"/>
          <w:numId w:val="1003"/>
        </w:numPr>
      </w:pPr>
      <w:r>
        <w:t xml:space="preserve">Insider activity has been steady but small: CEO</w:t>
      </w:r>
      <w:r>
        <w:t xml:space="preserve"> </w:t>
      </w:r>
      <w:r>
        <w:rPr>
          <w:b/>
          <w:bCs/>
        </w:rPr>
        <w:t xml:space="preserve">Jim Bidzos</w:t>
      </w:r>
      <w:r>
        <w:t xml:space="preserve"> </w:t>
      </w:r>
      <w:r>
        <w:t xml:space="preserve">and General Counsel</w:t>
      </w:r>
      <w:r>
        <w:t xml:space="preserve"> </w:t>
      </w:r>
      <w:r>
        <w:rPr>
          <w:b/>
          <w:bCs/>
        </w:rPr>
        <w:t xml:space="preserve">Thomas Indelicato</w:t>
      </w:r>
      <w:r>
        <w:t xml:space="preserve"> </w:t>
      </w:r>
      <w:r>
        <w:t xml:space="preserve">have continued routine, pre-planned stock sales through July (e.g., Bidzos selling roughly</w:t>
      </w:r>
      <w:r>
        <w:t xml:space="preserve"> </w:t>
      </w:r>
      <m:oMath>
        <m:r>
          <m:t>870</m:t>
        </m:r>
        <m:r>
          <m:t>K</m:t>
        </m:r>
        <m:r>
          <m:rPr>
            <m:sty m:val="p"/>
          </m:rPr>
          <m:t>–</m:t>
        </m:r>
      </m:oMath>
      <w:r>
        <w:rPr>
          <w:b/>
          <w:bCs/>
        </w:rPr>
        <w:t xml:space="preserve">878K</w:t>
      </w:r>
      <w:r>
        <w:t xml:space="preserve"> </w:t>
      </w:r>
      <w:r>
        <w:t xml:space="preserve">in multiple tranches on 7/7, 7/14, and 7/21) — these appear to be scheduled 10b5-1 sales rather than a signal.</w:t>
      </w:r>
    </w:p>
    <w:p>
      <w:pPr>
        <w:pStyle w:val="Compact"/>
        <w:numPr>
          <w:ilvl w:val="0"/>
          <w:numId w:val="1003"/>
        </w:numPr>
      </w:pPr>
      <w:r>
        <w:t xml:space="preserve">The stock's pullback from the ~</w:t>
      </w:r>
      <m:oMath>
        <m:r>
          <m:t>310</m:t>
        </m:r>
        <m:r>
          <m:t>M</m:t>
        </m:r>
        <m:r>
          <m:t>a</m:t>
        </m:r>
        <m:r>
          <m:t>y</m:t>
        </m:r>
        <m:r>
          <m:t>p</m:t>
        </m:r>
        <m:r>
          <m:t>e</m:t>
        </m:r>
        <m:r>
          <m:t>a</m:t>
        </m:r>
        <m:r>
          <m:t>k</m:t>
        </m:r>
        <m:r>
          <m:t>t</m:t>
        </m:r>
        <m:r>
          <m:t>o</m:t>
        </m:r>
        <m:r>
          <m:t>t</m:t>
        </m:r>
        <m:r>
          <m:t>h</m:t>
        </m:r>
        <m:r>
          <m:t>e</m:t>
        </m:r>
        <m:r>
          <m:t>l</m:t>
        </m:r>
        <m:r>
          <m:t>o</m:t>
        </m:r>
        <m:r>
          <m:t>w</m:t>
        </m:r>
        <m:r>
          <m:rPr>
            <m:sty m:val="p"/>
          </m:rPr>
          <m:t>−</m:t>
        </m:r>
      </m:oMath>
      <w:r>
        <w:t xml:space="preserve">260s heading into the print reflects both a broader tech/AI-sentiment wobble and stock-specific digestion after a strong run, leaving room for a relief rally on an in-line-or-better print, or renewed pressure if AI-disruption rhetoric resurfaces on the call.</w:t>
      </w:r>
    </w:p>
    <w:bookmarkEnd w:id="12"/>
    <w:bookmarkStart w:id="13" w:name="bottom-line"/>
    <w:p>
      <w:pPr>
        <w:pStyle w:val="Heading2"/>
      </w:pPr>
      <w:r>
        <w:t xml:space="preserve">Bottom Line</w:t>
      </w:r>
    </w:p>
    <w:p>
      <w:pPr>
        <w:pStyle w:val="FirstParagraph"/>
      </w:pPr>
      <w:r>
        <w:t xml:space="preserve">VeriSign heads into Q2 2026 with genuinely strong underlying fundamentals — record domain base, accelerating new registrations, improving renewal rates, a fresh .com price increase in the pipeline, and continued 100%+ free-cash-flow return to shareholders. The print itself is unlikely to disappoint materially given recent beat-and-raise momentum and reasonably modest consensus expectations (~</w:t>
      </w:r>
      <m:oMath>
        <m:r>
          <m:t>2.42</m:t>
        </m:r>
        <m:r>
          <m:t>E</m:t>
        </m:r>
        <m:r>
          <m:t>P</m:t>
        </m:r>
        <m:r>
          <m:t>S</m:t>
        </m:r>
        <m:r>
          <m:rPr>
            <m:sty m:val="p"/>
          </m:rPr>
          <m:t>,</m:t>
        </m:r>
        <m:r>
          <m:t> </m:t>
        </m:r>
      </m:oMath>
      <w:r>
        <w:t xml:space="preserve">433M revenue). The bigger swing factors for the stock are likely to be</w:t>
      </w:r>
      <w:r>
        <w:t xml:space="preserve"> </w:t>
      </w:r>
      <w:r>
        <w:rPr>
          <w:b/>
          <w:bCs/>
        </w:rPr>
        <w:t xml:space="preserve">forward commentary</w:t>
      </w:r>
      <w:r>
        <w:t xml:space="preserve">: any update to full-year domain-base and financial guidance, color on renewal-cohort mix shift in H2, elasticity signals from the upcoming price increase, the ICANN new-gTLD participation decision, and — most importantly for the multiple — management's framing of AI as friend or foe to long-term domain demand.</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2026-07-23T01:01:30Z</dcterms:created>
  <dcterms:modified xsi:type="dcterms:W3CDTF">2026-07-23T01:01:30Z</dcterms:modified>
</cp:coreProperties>
</file>

<file path=docProps/custom.xml><?xml version="1.0" encoding="utf-8"?>
<Properties xmlns="http://schemas.openxmlformats.org/officeDocument/2006/custom-properties" xmlns:vt="http://schemas.openxmlformats.org/officeDocument/2006/docPropsVTypes"/>
</file>