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verisign-vrsn-2026-q2-earnings-preview"/>
    <w:p>
      <w:pPr>
        <w:pStyle w:val="Heading1"/>
      </w:pPr>
      <w:r>
        <w:t xml:space="preserve">VeriSign (VRSN) 2026 Q2 Earnings Preview</w:t>
      </w:r>
    </w:p>
    <w:p>
      <w:pPr>
        <w:pStyle w:val="BlockText"/>
      </w:pPr>
      <w:r>
        <w:rPr>
          <w:b/>
          <w:bCs/>
        </w:rPr>
        <w:t xml:space="preserve">Timing note:</w:t>
      </w:r>
      <w:r>
        <w:t xml:space="preserve"> </w:t>
      </w:r>
      <w:r>
        <w:t xml:space="preserve">VeriSign is scheduled to report</w:t>
      </w:r>
      <w:r>
        <w:t xml:space="preserve"> </w:t>
      </w:r>
      <w:r>
        <w:rPr>
          <w:b/>
          <w:bCs/>
        </w:rPr>
        <w:t xml:space="preserve">today, Thursday, July 23, 2026</w:t>
      </w:r>
      <w:r>
        <w:t xml:space="preserve">, not tomorrow. The release is expected at approximately</w:t>
      </w:r>
      <w:r>
        <w:t xml:space="preserve"> </w:t>
      </w:r>
      <w:r>
        <w:rPr>
          <w:b/>
          <w:bCs/>
        </w:rPr>
        <w:t xml:space="preserve">4:05 p.m. ET</w:t>
      </w:r>
      <w:r>
        <w:t xml:space="preserve">, followed by the earnings call at</w:t>
      </w:r>
      <w:r>
        <w:t xml:space="preserve"> </w:t>
      </w:r>
      <w:r>
        <w:rPr>
          <w:b/>
          <w:bCs/>
        </w:rPr>
        <w:t xml:space="preserve">4:30 p.m. ET</w:t>
      </w:r>
      <w:r>
        <w:t xml:space="preserve">.</w:t>
      </w:r>
    </w:p>
    <w:bookmarkStart w:id="9" w:name="investment-view-going-into-the-report"/>
    <w:p>
      <w:pPr>
        <w:pStyle w:val="Heading2"/>
      </w:pPr>
      <w:r>
        <w:t xml:space="preserve">Investment view going into the report</w:t>
      </w:r>
    </w:p>
    <w:p>
      <w:pPr>
        <w:pStyle w:val="FirstParagraph"/>
      </w:pPr>
      <w:r>
        <w:t xml:space="preserve">The central issue is not whether VeriSign can produce another quarter of high margins and predictable cash flow—it almost certainly can. The more important question is whether the sharp improvement in the</w:t>
      </w:r>
      <w:r>
        <w:t xml:space="preserve"> </w:t>
      </w:r>
      <w:r>
        <w:rPr>
          <w:b/>
          <w:bCs/>
        </w:rPr>
        <w:t xml:space="preserve">.com/.net domain base</w:t>
      </w:r>
      <w:r>
        <w:t xml:space="preserve"> </w:t>
      </w:r>
      <w:r>
        <w:t xml:space="preserve">is sustainable enough to support another guidance increase.</w:t>
      </w:r>
    </w:p>
    <w:p>
      <w:pPr>
        <w:pStyle w:val="BodyText"/>
      </w:pPr>
      <w:r>
        <w:t xml:space="preserve">First-quarter operating trends were unusually strong:</w:t>
      </w:r>
    </w:p>
    <w:p>
      <w:pPr>
        <w:pStyle w:val="Compact"/>
        <w:numPr>
          <w:ilvl w:val="0"/>
          <w:numId w:val="1001"/>
        </w:numPr>
      </w:pPr>
      <w:r>
        <w:t xml:space="preserve">The .com/.net domain base reached a record</w:t>
      </w:r>
      <w:r>
        <w:t xml:space="preserve"> </w:t>
      </w:r>
      <w:r>
        <w:rPr>
          <w:b/>
          <w:bCs/>
        </w:rPr>
        <w:t xml:space="preserve">176.1 million</w:t>
      </w:r>
      <w:r>
        <w:t xml:space="preserve">, up</w:t>
      </w:r>
      <w:r>
        <w:t xml:space="preserve"> </w:t>
      </w:r>
      <w:r>
        <w:rPr>
          <w:b/>
          <w:bCs/>
        </w:rPr>
        <w:t xml:space="preserve">2.5 million sequentially</w:t>
      </w:r>
      <w:r>
        <w:t xml:space="preserve"> </w:t>
      </w:r>
      <w:r>
        <w:t xml:space="preserve">and</w:t>
      </w:r>
      <w:r>
        <w:t xml:space="preserve"> </w:t>
      </w:r>
      <w:r>
        <w:rPr>
          <w:b/>
          <w:bCs/>
        </w:rPr>
        <w:t xml:space="preserve">3.7% year over year</w:t>
      </w:r>
      <w:r>
        <w:t xml:space="preserve">.</w:t>
      </w:r>
    </w:p>
    <w:p>
      <w:pPr>
        <w:pStyle w:val="Compact"/>
        <w:numPr>
          <w:ilvl w:val="0"/>
          <w:numId w:val="1001"/>
        </w:numPr>
      </w:pPr>
      <w:r>
        <w:t xml:space="preserve">New registrations rose to</w:t>
      </w:r>
      <w:r>
        <w:t xml:space="preserve"> </w:t>
      </w:r>
      <w:r>
        <w:rPr>
          <w:b/>
          <w:bCs/>
        </w:rPr>
        <w:t xml:space="preserve">11.5 million</w:t>
      </w:r>
      <w:r>
        <w:t xml:space="preserve">, the highest level since the first half of 2021.</w:t>
      </w:r>
    </w:p>
    <w:p>
      <w:pPr>
        <w:pStyle w:val="Compact"/>
        <w:numPr>
          <w:ilvl w:val="0"/>
          <w:numId w:val="1001"/>
        </w:numPr>
      </w:pPr>
      <w:r>
        <w:t xml:space="preserve">The preliminary renewal rate improved to</w:t>
      </w:r>
      <w:r>
        <w:t xml:space="preserve"> </w:t>
      </w:r>
      <w:r>
        <w:rPr>
          <w:b/>
          <w:bCs/>
        </w:rPr>
        <w:t xml:space="preserve">76.3%</w:t>
      </w:r>
      <w:r>
        <w:t xml:space="preserve">, versus 75.5% a year earlier.</w:t>
      </w:r>
    </w:p>
    <w:p>
      <w:pPr>
        <w:pStyle w:val="Compact"/>
        <w:numPr>
          <w:ilvl w:val="0"/>
          <w:numId w:val="1001"/>
        </w:numPr>
      </w:pPr>
      <w:r>
        <w:t xml:space="preserve">Management raised 2026 domain-base growth guidance to</w:t>
      </w:r>
      <w:r>
        <w:t xml:space="preserve"> </w:t>
      </w:r>
      <w:r>
        <w:rPr>
          <w:b/>
          <w:bCs/>
        </w:rPr>
        <w:t xml:space="preserve">3.1%–4.3%</w:t>
      </w:r>
      <w:r>
        <w:t xml:space="preserve">, from 1.5%–3.5% initially.</w:t>
      </w:r>
    </w:p>
    <w:p>
      <w:pPr>
        <w:pStyle w:val="Compact"/>
        <w:numPr>
          <w:ilvl w:val="0"/>
          <w:numId w:val="1001"/>
        </w:numPr>
      </w:pPr>
      <w:r>
        <w:t xml:space="preserve">Revenue grew 6.6%, while diluted EPS increased 11.4%.</w:t>
      </w:r>
    </w:p>
    <w:p>
      <w:pPr>
        <w:pStyle w:val="FirstParagraph"/>
      </w:pPr>
      <w:r>
        <w:t xml:space="preserve">The setup is therefore favorable but demanding. A solid financial quarter accompanied by slowing registration growth could disappoint, while continued domain strength and another guidance increase would validate the emerging thesis that registrar marketing programs and AI-enabled website creation have lifted VeriSign’s organic growth trajectory.</w:t>
      </w:r>
    </w:p>
    <w:bookmarkEnd w:id="9"/>
    <w:bookmarkStart w:id="10" w:name="key-numbers-and-benchmarks"/>
    <w:p>
      <w:pPr>
        <w:pStyle w:val="Heading2"/>
      </w:pPr>
      <w:r>
        <w:t xml:space="preserve">Key numbers and benchmarks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2025 Q2</w:t>
            </w:r>
          </w:p>
        </w:tc>
        <w:tc>
          <w:tcPr/>
          <w:p>
            <w:pPr>
              <w:pStyle w:val="Compact"/>
              <w:jc w:val="right"/>
            </w:pPr>
            <w:r>
              <w:t xml:space="preserve">2026 Q1</w:t>
            </w:r>
          </w:p>
        </w:tc>
        <w:tc>
          <w:tcPr/>
          <w:p>
            <w:pPr>
              <w:pStyle w:val="Compact"/>
            </w:pPr>
            <w:r>
              <w:t xml:space="preserve">What matters in Q2</w:t>
            </w:r>
          </w:p>
        </w:tc>
      </w:tr>
      <w:tr>
        <w:tc>
          <w:tcPr/>
          <w:p>
            <w:pPr>
              <w:pStyle w:val="Compact"/>
            </w:pPr>
            <w:r>
              <w:t xml:space="preserve">Revenue</w:t>
            </w:r>
          </w:p>
        </w:tc>
        <w:tc>
          <w:tcPr/>
          <w:p>
            <w:pPr>
              <w:pStyle w:val="Compact"/>
              <w:jc w:val="right"/>
            </w:pPr>
            <w:r>
              <w:t xml:space="preserve">$410M</w:t>
            </w:r>
          </w:p>
        </w:tc>
        <w:tc>
          <w:tcPr/>
          <w:p>
            <w:pPr>
              <w:pStyle w:val="Compact"/>
              <w:jc w:val="right"/>
            </w:pPr>
            <w:r>
              <w:t xml:space="preserve">$429M</w:t>
            </w:r>
          </w:p>
        </w:tc>
        <w:tc>
          <w:tcPr/>
          <w:p>
            <w:pPr>
              <w:pStyle w:val="Compact"/>
            </w:pPr>
            <w:r>
              <w:t xml:space="preserve">Roughly</w:t>
            </w:r>
            <w:r>
              <w:t xml:space="preserve"> </w:t>
            </w:r>
            <m:oMath>
              <m:r>
                <m:t>434</m:t>
              </m:r>
              <m:r>
                <m:t>M</m:t>
              </m:r>
              <m:r>
                <m:rPr>
                  <m:sty m:val="p"/>
                </m:rPr>
                <m:t>–</m:t>
              </m:r>
            </m:oMath>
            <w:r>
              <w:rPr>
                <w:b/>
                <w:bCs/>
              </w:rPr>
              <w:t xml:space="preserve">439M</w:t>
            </w:r>
            <w:r>
              <w:t xml:space="preserve"> </w:t>
            </w:r>
            <w:r>
              <w:t xml:space="preserve">would be consistent with the average pace needed to achieve annual guidance</w:t>
            </w:r>
          </w:p>
        </w:tc>
      </w:tr>
      <w:tr>
        <w:tc>
          <w:tcPr/>
          <w:p>
            <w:pPr>
              <w:pStyle w:val="Compact"/>
            </w:pPr>
            <w:r>
              <w:t xml:space="preserve">Diluted EPS</w:t>
            </w:r>
          </w:p>
        </w:tc>
        <w:tc>
          <w:tcPr/>
          <w:p>
            <w:pPr>
              <w:pStyle w:val="Compact"/>
              <w:jc w:val="right"/>
            </w:pPr>
            <w:r>
              <w:t xml:space="preserve">$2.21</w:t>
            </w:r>
          </w:p>
        </w:tc>
        <w:tc>
          <w:tcPr/>
          <w:p>
            <w:pPr>
              <w:pStyle w:val="Compact"/>
              <w:jc w:val="right"/>
            </w:pPr>
            <w:r>
              <w:t xml:space="preserve">$2.34</w:t>
            </w:r>
          </w:p>
        </w:tc>
        <w:tc>
          <w:tcPr/>
          <w:p>
            <w:pPr>
              <w:pStyle w:val="Compact"/>
            </w:pPr>
            <w:r>
              <w:t xml:space="preserve">A reasonable operating benchmark is approximately</w:t>
            </w:r>
            <w:r>
              <w:t xml:space="preserve"> </w:t>
            </w:r>
            <m:oMath>
              <m:r>
                <m:t>2.35</m:t>
              </m:r>
              <m:r>
                <m:rPr>
                  <m:sty m:val="p"/>
                </m:rPr>
                <m:t>–</m:t>
              </m:r>
            </m:oMath>
            <w:r>
              <w:rPr>
                <w:b/>
                <w:bCs/>
              </w:rPr>
              <w:t xml:space="preserve">2.40</w:t>
            </w:r>
            <w:r>
              <w:t xml:space="preserve">, excluding unusual debt-refinancing effects</w:t>
            </w:r>
          </w:p>
        </w:tc>
      </w:tr>
      <w:tr>
        <w:tc>
          <w:tcPr/>
          <w:p>
            <w:pPr>
              <w:pStyle w:val="Compact"/>
            </w:pPr>
            <w:r>
              <w:t xml:space="preserve">Operating margin</w:t>
            </w:r>
          </w:p>
        </w:tc>
        <w:tc>
          <w:tcPr/>
          <w:p>
            <w:pPr>
              <w:pStyle w:val="Compact"/>
              <w:jc w:val="right"/>
            </w:pPr>
            <w:r>
              <w:t xml:space="preserve">~68.5%</w:t>
            </w:r>
          </w:p>
        </w:tc>
        <w:tc>
          <w:tcPr/>
          <w:p>
            <w:pPr>
              <w:pStyle w:val="Compact"/>
              <w:jc w:val="right"/>
            </w:pPr>
            <w:r>
              <w:t xml:space="preserve">68.5%</w:t>
            </w:r>
          </w:p>
        </w:tc>
        <w:tc>
          <w:tcPr/>
          <w:p>
            <w:pPr>
              <w:pStyle w:val="Compact"/>
            </w:pPr>
            <w:r>
              <w:t xml:space="preserve">Maintaining roughly</w:t>
            </w:r>
            <w:r>
              <w:t xml:space="preserve"> </w:t>
            </w:r>
            <w:r>
              <w:rPr>
                <w:b/>
                <w:bCs/>
              </w:rPr>
              <w:t xml:space="preserve">68%</w:t>
            </w:r>
            <w:r>
              <w:t xml:space="preserve"> </w:t>
            </w:r>
            <w:r>
              <w:t xml:space="preserve">despite marketing and development spending</w:t>
            </w:r>
          </w:p>
        </w:tc>
      </w:tr>
      <w:tr>
        <w:tc>
          <w:tcPr/>
          <w:p>
            <w:pPr>
              <w:pStyle w:val="Compact"/>
            </w:pPr>
            <w:r>
              <w:t xml:space="preserve">New .com/.net registrations</w:t>
            </w:r>
          </w:p>
        </w:tc>
        <w:tc>
          <w:tcPr/>
          <w:p>
            <w:pPr>
              <w:pStyle w:val="Compact"/>
              <w:jc w:val="right"/>
            </w:pPr>
            <w:r>
              <w:t xml:space="preserve">10.4M</w:t>
            </w:r>
          </w:p>
        </w:tc>
        <w:tc>
          <w:tcPr/>
          <w:p>
            <w:pPr>
              <w:pStyle w:val="Compact"/>
              <w:jc w:val="right"/>
            </w:pPr>
            <w:r>
              <w:t xml:space="preserve">11.5M</w:t>
            </w:r>
          </w:p>
        </w:tc>
        <w:tc>
          <w:tcPr/>
          <w:p>
            <w:pPr>
              <w:pStyle w:val="Compact"/>
            </w:pPr>
            <w:r>
              <w:t xml:space="preserve">Whether registrations remain near recent elevated levels</w:t>
            </w:r>
          </w:p>
        </w:tc>
      </w:tr>
      <w:tr>
        <w:tc>
          <w:tcPr/>
          <w:p>
            <w:pPr>
              <w:pStyle w:val="Compact"/>
            </w:pPr>
            <w:r>
              <w:t xml:space="preserve">Preliminary renewal rate</w:t>
            </w:r>
          </w:p>
        </w:tc>
        <w:tc>
          <w:tcPr/>
          <w:p>
            <w:pPr>
              <w:pStyle w:val="Compact"/>
              <w:jc w:val="right"/>
            </w:pPr>
            <w:r>
              <w:t xml:space="preserve">75.5%</w:t>
            </w:r>
          </w:p>
        </w:tc>
        <w:tc>
          <w:tcPr/>
          <w:p>
            <w:pPr>
              <w:pStyle w:val="Compact"/>
              <w:jc w:val="right"/>
            </w:pPr>
            <w:r>
              <w:t xml:space="preserve">76.3%</w:t>
            </w:r>
          </w:p>
        </w:tc>
        <w:tc>
          <w:tcPr/>
          <w:p>
            <w:pPr>
              <w:pStyle w:val="Compact"/>
            </w:pPr>
            <w:r>
              <w:t xml:space="preserve">Stability around 76% would be constructive</w:t>
            </w:r>
          </w:p>
        </w:tc>
      </w:tr>
      <w:tr>
        <w:tc>
          <w:tcPr/>
          <w:p>
            <w:pPr>
              <w:pStyle w:val="Compact"/>
            </w:pPr>
            <w:r>
              <w:t xml:space="preserve">Quarter-end domain base</w:t>
            </w:r>
          </w:p>
        </w:tc>
        <w:tc>
          <w:tcPr/>
          <w:p>
            <w:pPr>
              <w:pStyle w:val="Compact"/>
              <w:jc w:val="right"/>
            </w:pPr>
            <w:r>
              <w:t xml:space="preserve">170.5M</w:t>
            </w:r>
          </w:p>
        </w:tc>
        <w:tc>
          <w:tcPr/>
          <w:p>
            <w:pPr>
              <w:pStyle w:val="Compact"/>
              <w:jc w:val="right"/>
            </w:pPr>
            <w:r>
              <w:t xml:space="preserve">176.1M</w:t>
            </w:r>
          </w:p>
        </w:tc>
        <w:tc>
          <w:tcPr/>
          <w:p>
            <w:pPr>
              <w:pStyle w:val="Compact"/>
            </w:pPr>
            <w:r>
              <w:t xml:space="preserve">Sequential net additions and progress toward full-year guidance</w:t>
            </w:r>
          </w:p>
        </w:tc>
      </w:tr>
    </w:tbl>
    <w:p>
      <w:pPr>
        <w:pStyle w:val="BodyText"/>
      </w:pPr>
      <w:r>
        <w:t xml:space="preserve">The revenue and EPS figures above are</w:t>
      </w:r>
      <w:r>
        <w:t xml:space="preserve"> </w:t>
      </w:r>
      <w:r>
        <w:rPr>
          <w:b/>
          <w:bCs/>
        </w:rPr>
        <w:t xml:space="preserve">analytical benchmarks, not consensus estimates</w:t>
      </w:r>
      <w:r>
        <w:t xml:space="preserve">. VeriSign does not provide quarterly guidance.</w:t>
      </w:r>
    </w:p>
    <w:bookmarkEnd w:id="10"/>
    <w:bookmarkStart w:id="11" w:name="Xf5b9cb5196d5e4b0b1772e6fe31f373c21529ea"/>
    <w:p>
      <w:pPr>
        <w:pStyle w:val="Heading2"/>
      </w:pPr>
      <w:r>
        <w:t xml:space="preserve">The most important metric: domain-base growth</w:t>
      </w:r>
    </w:p>
    <w:p>
      <w:pPr>
        <w:pStyle w:val="FirstParagraph"/>
      </w:pPr>
      <w:r>
        <w:t xml:space="preserve">VeriSign entered 2026 with 173.5 million .com and .net domains. Its updated growth guidance implies a year-end domain base of approximately:</w:t>
      </w:r>
    </w:p>
    <w:p>
      <w:pPr>
        <w:pStyle w:val="Compact"/>
        <w:numPr>
          <w:ilvl w:val="0"/>
          <w:numId w:val="1002"/>
        </w:numPr>
      </w:pPr>
      <w:r>
        <w:rPr>
          <w:b/>
          <w:bCs/>
        </w:rPr>
        <w:t xml:space="preserve">178.9 million at the low end</w:t>
      </w:r>
    </w:p>
    <w:p>
      <w:pPr>
        <w:pStyle w:val="Compact"/>
        <w:numPr>
          <w:ilvl w:val="0"/>
          <w:numId w:val="1002"/>
        </w:numPr>
      </w:pPr>
      <w:r>
        <w:rPr>
          <w:b/>
          <w:bCs/>
        </w:rPr>
        <w:t xml:space="preserve">181.0 million at the high end</w:t>
      </w:r>
    </w:p>
    <w:p>
      <w:pPr>
        <w:pStyle w:val="FirstParagraph"/>
      </w:pPr>
      <w:r>
        <w:t xml:space="preserve">After reaching 176.1 million in Q1, the company needs another</w:t>
      </w:r>
      <w:r>
        <w:t xml:space="preserve"> </w:t>
      </w:r>
      <w:r>
        <w:rPr>
          <w:b/>
          <w:bCs/>
        </w:rPr>
        <w:t xml:space="preserve">2.8 million to 4.9 million</w:t>
      </w:r>
      <w:r>
        <w:t xml:space="preserve"> </w:t>
      </w:r>
      <w:r>
        <w:t xml:space="preserve">net additions over the final three quarters. That equates to an average of roughly</w:t>
      </w:r>
      <w:r>
        <w:t xml:space="preserve"> </w:t>
      </w:r>
      <w:r>
        <w:rPr>
          <w:b/>
          <w:bCs/>
        </w:rPr>
        <w:t xml:space="preserve">0.9 million to 1.6 million net additions per quarter</w:t>
      </w:r>
      <w:r>
        <w:t xml:space="preserve">.</w:t>
      </w:r>
    </w:p>
    <w:p>
      <w:pPr>
        <w:pStyle w:val="BodyText"/>
      </w:pPr>
      <w:r>
        <w:t xml:space="preserve">Q1’s 2.5 million sequential increase was exceptionally strong and should not be treated as the new quarterly run rate. Nevertheless, Q2 needs to show that the improvement is more than seasonal. Investors should focus on:</w:t>
      </w:r>
    </w:p>
    <w:p>
      <w:pPr>
        <w:pStyle w:val="Compact"/>
        <w:numPr>
          <w:ilvl w:val="0"/>
          <w:numId w:val="1003"/>
        </w:numPr>
      </w:pPr>
      <w:r>
        <w:rPr>
          <w:b/>
          <w:bCs/>
        </w:rPr>
        <w:t xml:space="preserve">New registrations:</w:t>
      </w:r>
      <w:r>
        <w:t xml:space="preserve"> </w:t>
      </w:r>
      <w:r>
        <w:t xml:space="preserve">Can they remain near 11 million after Q1’s 11.5 million?</w:t>
      </w:r>
    </w:p>
    <w:p>
      <w:pPr>
        <w:pStyle w:val="Compact"/>
        <w:numPr>
          <w:ilvl w:val="0"/>
          <w:numId w:val="1003"/>
        </w:numPr>
      </w:pPr>
      <w:r>
        <w:rPr>
          <w:b/>
          <w:bCs/>
        </w:rPr>
        <w:t xml:space="preserve">Renewals:</w:t>
      </w:r>
      <w:r>
        <w:t xml:space="preserve"> </w:t>
      </w:r>
      <w:r>
        <w:t xml:space="preserve">Does the preliminary renewal rate remain around 76%?</w:t>
      </w:r>
    </w:p>
    <w:p>
      <w:pPr>
        <w:pStyle w:val="Compact"/>
        <w:numPr>
          <w:ilvl w:val="0"/>
          <w:numId w:val="1003"/>
        </w:numPr>
      </w:pPr>
      <w:r>
        <w:rPr>
          <w:b/>
          <w:bCs/>
        </w:rPr>
        <w:t xml:space="preserve">Regional breadth:</w:t>
      </w:r>
      <w:r>
        <w:t xml:space="preserve"> </w:t>
      </w:r>
      <w:r>
        <w:t xml:space="preserve">Q1 strength was concentrated in the U.S. and EMEA, although all three major regions grew.</w:t>
      </w:r>
    </w:p>
    <w:p>
      <w:pPr>
        <w:pStyle w:val="Compact"/>
        <w:numPr>
          <w:ilvl w:val="0"/>
          <w:numId w:val="1003"/>
        </w:numPr>
      </w:pPr>
      <w:r>
        <w:rPr>
          <w:b/>
          <w:bCs/>
        </w:rPr>
        <w:t xml:space="preserve">Marketing-program economics:</w:t>
      </w:r>
      <w:r>
        <w:t xml:space="preserve"> </w:t>
      </w:r>
      <w:r>
        <w:t xml:space="preserve">Management says its registrar programs are accretive. Investors should look for evidence that higher registrations are also producing attractive retention.</w:t>
      </w:r>
    </w:p>
    <w:p>
      <w:pPr>
        <w:pStyle w:val="Compact"/>
        <w:numPr>
          <w:ilvl w:val="0"/>
          <w:numId w:val="1003"/>
        </w:numPr>
      </w:pPr>
      <w:r>
        <w:rPr>
          <w:b/>
          <w:bCs/>
        </w:rPr>
        <w:t xml:space="preserve">Quality of registrations:</w:t>
      </w:r>
      <w:r>
        <w:t xml:space="preserve"> </w:t>
      </w:r>
      <w:r>
        <w:t xml:space="preserve">Promotions can increase gross registrations without creating durable domain-base growth. Renewal behavior is ultimately the better measure.</w:t>
      </w:r>
    </w:p>
    <w:bookmarkEnd w:id="11"/>
    <w:bookmarkStart w:id="12" w:name="Xac4938592103da7e89a0ba558749611af3e623d"/>
    <w:p>
      <w:pPr>
        <w:pStyle w:val="Heading2"/>
      </w:pPr>
      <w:r>
        <w:t xml:space="preserve">Renewal rates are the main operating risk</w:t>
      </w:r>
    </w:p>
    <w:p>
      <w:pPr>
        <w:pStyle w:val="FirstParagraph"/>
      </w:pPr>
      <w:r>
        <w:t xml:space="preserve">Management has warned that registrations accelerated during the second half of 2025, creating a larger pool of</w:t>
      </w:r>
      <w:r>
        <w:t xml:space="preserve"> </w:t>
      </w:r>
      <w:r>
        <w:rPr>
          <w:b/>
          <w:bCs/>
        </w:rPr>
        <w:t xml:space="preserve">first-time renewals</w:t>
      </w:r>
      <w:r>
        <w:t xml:space="preserve"> </w:t>
      </w:r>
      <w:r>
        <w:t xml:space="preserve">during the second half of 2026.</w:t>
      </w:r>
    </w:p>
    <w:p>
      <w:pPr>
        <w:pStyle w:val="BodyText"/>
      </w:pPr>
      <w:r>
        <w:t xml:space="preserve">That matters because VeriSign has indicated:</w:t>
      </w:r>
    </w:p>
    <w:p>
      <w:pPr>
        <w:pStyle w:val="Compact"/>
        <w:numPr>
          <w:ilvl w:val="0"/>
          <w:numId w:val="1004"/>
        </w:numPr>
      </w:pPr>
      <w:r>
        <w:t xml:space="preserve">First-time renewal rates are generally in the</w:t>
      </w:r>
      <w:r>
        <w:t xml:space="preserve"> </w:t>
      </w:r>
      <w:r>
        <w:rPr>
          <w:b/>
          <w:bCs/>
        </w:rPr>
        <w:t xml:space="preserve">mid-40% range</w:t>
      </w:r>
      <w:r>
        <w:t xml:space="preserve">.</w:t>
      </w:r>
    </w:p>
    <w:p>
      <w:pPr>
        <w:pStyle w:val="Compact"/>
        <w:numPr>
          <w:ilvl w:val="0"/>
          <w:numId w:val="1004"/>
        </w:numPr>
      </w:pPr>
      <w:r>
        <w:t xml:space="preserve">Previously renewed domains retain at rates in the</w:t>
      </w:r>
      <w:r>
        <w:t xml:space="preserve"> </w:t>
      </w:r>
      <w:r>
        <w:rPr>
          <w:b/>
          <w:bCs/>
        </w:rPr>
        <w:t xml:space="preserve">mid-80% range</w:t>
      </w:r>
      <w:r>
        <w:t xml:space="preserve">.</w:t>
      </w:r>
    </w:p>
    <w:p>
      <w:pPr>
        <w:pStyle w:val="FirstParagraph"/>
      </w:pPr>
      <w:r>
        <w:t xml:space="preserve">The mix shift could therefore pressure the reported renewal rate even if underlying cohort behavior remains healthy. Management’s commentary on cohort performance may be more useful than the headline renewal percentage alone.</w:t>
      </w:r>
    </w:p>
    <w:p>
      <w:pPr>
        <w:pStyle w:val="BodyText"/>
      </w:pPr>
      <w:r>
        <w:t xml:space="preserve">A modest sequential decline would not necessarily undermine the thesis. A material drop combined with weaker new registrations, however, would raise questions about whether Q1 represented a peak in promotional and AI-related demand.</w:t>
      </w:r>
    </w:p>
    <w:bookmarkEnd w:id="12"/>
    <w:bookmarkStart w:id="13" w:name="Xf5269272c954f21ffe8b96e7bc4afeea0922f9f"/>
    <w:p>
      <w:pPr>
        <w:pStyle w:val="Heading2"/>
      </w:pPr>
      <w:r>
        <w:t xml:space="preserve">Financial guidance: another increase is possible, but not required</w:t>
      </w:r>
    </w:p>
    <w:p>
      <w:pPr>
        <w:pStyle w:val="FirstParagraph"/>
      </w:pPr>
      <w:r>
        <w:t xml:space="preserve">Following Q1, VeriSign raised 2026 guidance to:</w:t>
      </w:r>
    </w:p>
    <w:p>
      <w:pPr>
        <w:pStyle w:val="Compact"/>
        <w:numPr>
          <w:ilvl w:val="0"/>
          <w:numId w:val="1005"/>
        </w:numPr>
      </w:pPr>
      <w:r>
        <w:rPr>
          <w:b/>
          <w:bCs/>
        </w:rPr>
        <w:t xml:space="preserve">Revenue:</w:t>
      </w:r>
      <w:r>
        <w:t xml:space="preserve"> </w:t>
      </w:r>
      <m:oMath>
        <m:r>
          <m:t>1.730</m:t>
        </m:r>
        <m:r>
          <m:t>b</m:t>
        </m:r>
        <m:r>
          <m:t>i</m:t>
        </m:r>
        <m:r>
          <m:t>l</m:t>
        </m:r>
        <m:r>
          <m:t>l</m:t>
        </m:r>
        <m:r>
          <m:t>i</m:t>
        </m:r>
        <m:r>
          <m:t>o</m:t>
        </m:r>
        <m:r>
          <m:t>n</m:t>
        </m:r>
        <m:r>
          <m:rPr>
            <m:sty m:val="p"/>
          </m:rPr>
          <m:t>–</m:t>
        </m:r>
      </m:oMath>
      <w:r>
        <w:t xml:space="preserve">1.745 billion</w:t>
      </w:r>
    </w:p>
    <w:p>
      <w:pPr>
        <w:pStyle w:val="Compact"/>
        <w:numPr>
          <w:ilvl w:val="0"/>
          <w:numId w:val="1005"/>
        </w:numPr>
      </w:pPr>
      <w:r>
        <w:rPr>
          <w:b/>
          <w:bCs/>
        </w:rPr>
        <w:t xml:space="preserve">Operating income:</w:t>
      </w:r>
      <w:r>
        <w:t xml:space="preserve"> </w:t>
      </w:r>
      <m:oMath>
        <m:r>
          <m:t>1.170</m:t>
        </m:r>
        <m:r>
          <m:t>b</m:t>
        </m:r>
        <m:r>
          <m:t>i</m:t>
        </m:r>
        <m:r>
          <m:t>l</m:t>
        </m:r>
        <m:r>
          <m:t>l</m:t>
        </m:r>
        <m:r>
          <m:t>i</m:t>
        </m:r>
        <m:r>
          <m:t>o</m:t>
        </m:r>
        <m:r>
          <m:t>n</m:t>
        </m:r>
        <m:r>
          <m:rPr>
            <m:sty m:val="p"/>
          </m:rPr>
          <m:t>–</m:t>
        </m:r>
      </m:oMath>
      <w:r>
        <w:t xml:space="preserve">1.185 billion</w:t>
      </w:r>
    </w:p>
    <w:p>
      <w:pPr>
        <w:pStyle w:val="Compact"/>
        <w:numPr>
          <w:ilvl w:val="0"/>
          <w:numId w:val="1005"/>
        </w:numPr>
      </w:pPr>
      <w:r>
        <w:rPr>
          <w:b/>
          <w:bCs/>
        </w:rPr>
        <w:t xml:space="preserve">Interest expense and nonoperating income, net:</w:t>
      </w:r>
      <w:r>
        <w:t xml:space="preserve"> </w:t>
      </w:r>
      <m:oMath>
        <m:r>
          <m:t>57</m:t>
        </m:r>
        <m:r>
          <m:t>m</m:t>
        </m:r>
        <m:r>
          <m:t>i</m:t>
        </m:r>
        <m:r>
          <m:t>l</m:t>
        </m:r>
        <m:r>
          <m:t>l</m:t>
        </m:r>
        <m:r>
          <m:t>i</m:t>
        </m:r>
        <m:r>
          <m:t>o</m:t>
        </m:r>
        <m:r>
          <m:t>n</m:t>
        </m:r>
        <m:r>
          <m:rPr>
            <m:sty m:val="p"/>
          </m:rPr>
          <m:t>–</m:t>
        </m:r>
      </m:oMath>
      <w:r>
        <w:t xml:space="preserve">67 million expense</w:t>
      </w:r>
    </w:p>
    <w:p>
      <w:pPr>
        <w:pStyle w:val="Compact"/>
        <w:numPr>
          <w:ilvl w:val="0"/>
          <w:numId w:val="1005"/>
        </w:numPr>
      </w:pPr>
      <w:r>
        <w:rPr>
          <w:b/>
          <w:bCs/>
        </w:rPr>
        <w:t xml:space="preserve">Capital expenditures:</w:t>
      </w:r>
      <w:r>
        <w:t xml:space="preserve"> </w:t>
      </w:r>
      <m:oMath>
        <m:r>
          <m:t>55</m:t>
        </m:r>
        <m:r>
          <m:t>m</m:t>
        </m:r>
        <m:r>
          <m:t>i</m:t>
        </m:r>
        <m:r>
          <m:t>l</m:t>
        </m:r>
        <m:r>
          <m:t>l</m:t>
        </m:r>
        <m:r>
          <m:t>i</m:t>
        </m:r>
        <m:r>
          <m:t>o</m:t>
        </m:r>
        <m:r>
          <m:t>n</m:t>
        </m:r>
        <m:r>
          <m:rPr>
            <m:sty m:val="p"/>
          </m:rPr>
          <m:t>–</m:t>
        </m:r>
      </m:oMath>
      <w:r>
        <w:t xml:space="preserve">65 million</w:t>
      </w:r>
    </w:p>
    <w:p>
      <w:pPr>
        <w:pStyle w:val="Compact"/>
        <w:numPr>
          <w:ilvl w:val="0"/>
          <w:numId w:val="1005"/>
        </w:numPr>
      </w:pPr>
      <w:r>
        <w:rPr>
          <w:b/>
          <w:bCs/>
        </w:rPr>
        <w:t xml:space="preserve">Tax rate:</w:t>
      </w:r>
      <w:r>
        <w:t xml:space="preserve"> </w:t>
      </w:r>
      <w:r>
        <w:t xml:space="preserve">22%–25%</w:t>
      </w:r>
    </w:p>
    <w:p>
      <w:pPr>
        <w:pStyle w:val="FirstParagraph"/>
      </w:pPr>
      <w:r>
        <w:t xml:space="preserve">The revenue guidance midpoint implies approximately 5% annual growth, while the operating-income range points to a full-year operating margin near 68%.</w:t>
      </w:r>
    </w:p>
    <w:p>
      <w:pPr>
        <w:pStyle w:val="BodyText"/>
      </w:pPr>
      <w:r>
        <w:t xml:space="preserve">A second consecutive guidance increase would be a clearly positive signal, particularly if driven by domain-base growth rather than lower spending. But after the sizable Q1 raise, an unchanged outlook should not automatically be interpreted negatively. The more important distinction is whether management:</w:t>
      </w:r>
    </w:p>
    <w:p>
      <w:pPr>
        <w:pStyle w:val="Compact"/>
        <w:numPr>
          <w:ilvl w:val="0"/>
          <w:numId w:val="1006"/>
        </w:numPr>
      </w:pPr>
      <w:r>
        <w:t xml:space="preserve">Expresses greater confidence in the upper half of the current ranges;</w:t>
      </w:r>
    </w:p>
    <w:p>
      <w:pPr>
        <w:pStyle w:val="Compact"/>
        <w:numPr>
          <w:ilvl w:val="0"/>
          <w:numId w:val="1006"/>
        </w:numPr>
      </w:pPr>
      <w:r>
        <w:t xml:space="preserve">Raises domain-base guidance again;</w:t>
      </w:r>
    </w:p>
    <w:p>
      <w:pPr>
        <w:pStyle w:val="Compact"/>
        <w:numPr>
          <w:ilvl w:val="0"/>
          <w:numId w:val="1006"/>
        </w:numPr>
      </w:pPr>
      <w:r>
        <w:t xml:space="preserve">Maintains the financial outlook despite stronger volumes because it plans to reinvest; or</w:t>
      </w:r>
    </w:p>
    <w:p>
      <w:pPr>
        <w:pStyle w:val="Compact"/>
        <w:numPr>
          <w:ilvl w:val="0"/>
          <w:numId w:val="1006"/>
        </w:numPr>
      </w:pPr>
      <w:r>
        <w:t xml:space="preserve">Signals a second-half renewal slowdown.</w:t>
      </w:r>
    </w:p>
    <w:bookmarkEnd w:id="13"/>
    <w:bookmarkStart w:id="14" w:name="X19e5927a2f5b454d464952e6ae38ff58b767f76"/>
    <w:p>
      <w:pPr>
        <w:pStyle w:val="Heading2"/>
      </w:pPr>
      <w:r>
        <w:t xml:space="preserve">The November .com price increase supports 2027 more than 2026</w:t>
      </w:r>
    </w:p>
    <w:p>
      <w:pPr>
        <w:pStyle w:val="FirstParagraph"/>
      </w:pPr>
      <w:r>
        <w:t xml:space="preserve">VeriSign will raise the annual wholesale price of a .com registration from</w:t>
      </w:r>
      <w:r>
        <w:t xml:space="preserve"> </w:t>
      </w:r>
      <w:r>
        <w:rPr>
          <w:b/>
          <w:bCs/>
        </w:rPr>
        <w:t xml:space="preserve">$10.26 to $10.97</w:t>
      </w:r>
      <w:r>
        <w:t xml:space="preserve">, effective</w:t>
      </w:r>
      <w:r>
        <w:t xml:space="preserve"> </w:t>
      </w:r>
      <w:r>
        <w:rPr>
          <w:b/>
          <w:bCs/>
        </w:rPr>
        <w:t xml:space="preserve">November 1, 2026</w:t>
      </w:r>
      <w:r>
        <w:t xml:space="preserve">—an increase of approximately 6.9%.</w:t>
      </w:r>
    </w:p>
    <w:p>
      <w:pPr>
        <w:pStyle w:val="BodyText"/>
      </w:pPr>
      <w:r>
        <w:t xml:space="preserve">This is an important structural earnings driver, but investors should temper expectations for an immediate Q4 benefit. Registration revenue is generally recognized over the registration term, and domains renew throughout the year. Consequently:</w:t>
      </w:r>
    </w:p>
    <w:p>
      <w:pPr>
        <w:pStyle w:val="Compact"/>
        <w:numPr>
          <w:ilvl w:val="0"/>
          <w:numId w:val="1007"/>
        </w:numPr>
      </w:pPr>
      <w:r>
        <w:t xml:space="preserve">The 2026 contribution should be modest.</w:t>
      </w:r>
    </w:p>
    <w:p>
      <w:pPr>
        <w:pStyle w:val="Compact"/>
        <w:numPr>
          <w:ilvl w:val="0"/>
          <w:numId w:val="1007"/>
        </w:numPr>
      </w:pPr>
      <w:r>
        <w:t xml:space="preserve">The benefit should build progressively during 2027.</w:t>
      </w:r>
    </w:p>
    <w:p>
      <w:pPr>
        <w:pStyle w:val="Compact"/>
        <w:numPr>
          <w:ilvl w:val="0"/>
          <w:numId w:val="1007"/>
        </w:numPr>
      </w:pPr>
      <w:r>
        <w:t xml:space="preserve">Any registrar behavior ahead of the increase—such as multi-year registrations or early promotions—could affect quarterly domain metrics.</w:t>
      </w:r>
    </w:p>
    <w:p>
      <w:pPr>
        <w:pStyle w:val="FirstParagraph"/>
      </w:pPr>
      <w:r>
        <w:t xml:space="preserve">Management’s comments on registrar pricing behavior and elasticity will be worth monitoring, although prior price increases have generally had limited impact given the low absolute wholesale cost.</w:t>
      </w:r>
    </w:p>
    <w:bookmarkEnd w:id="14"/>
    <w:bookmarkStart w:id="15" w:name="capital-allocation-and-debt-refinancing"/>
    <w:p>
      <w:pPr>
        <w:pStyle w:val="Heading2"/>
      </w:pPr>
      <w:r>
        <w:t xml:space="preserve">Capital allocation and debt refinancing</w:t>
      </w:r>
    </w:p>
    <w:p>
      <w:pPr>
        <w:pStyle w:val="FirstParagraph"/>
      </w:pPr>
      <w:r>
        <w:t xml:space="preserve">VeriSign remains an unusually cash-generative business. In Q1 it generated</w:t>
      </w:r>
      <w:r>
        <w:t xml:space="preserve"> </w:t>
      </w:r>
      <m:oMath>
        <m:r>
          <m:t>265</m:t>
        </m:r>
        <m:r>
          <m:t>m</m:t>
        </m:r>
        <m:r>
          <m:t>i</m:t>
        </m:r>
        <m:r>
          <m:t>l</m:t>
        </m:r>
        <m:r>
          <m:t>l</m:t>
        </m:r>
        <m:r>
          <m:t>i</m:t>
        </m:r>
        <m:r>
          <m:t>o</m:t>
        </m:r>
        <m:r>
          <m:t>n</m:t>
        </m:r>
        <m:r>
          <m:t>o</m:t>
        </m:r>
        <m:r>
          <m:t>f</m:t>
        </m:r>
        <m:r>
          <m:t>f</m:t>
        </m:r>
        <m:r>
          <m:t>r</m:t>
        </m:r>
        <m:r>
          <m:t>e</m:t>
        </m:r>
        <m:r>
          <m:t>e</m:t>
        </m:r>
        <m:r>
          <m:t>c</m:t>
        </m:r>
        <m:r>
          <m:t>a</m:t>
        </m:r>
        <m:r>
          <m:t>s</m:t>
        </m:r>
        <m:r>
          <m:t>h</m:t>
        </m:r>
        <m:r>
          <m:t>f</m:t>
        </m:r>
        <m:r>
          <m:t>l</m:t>
        </m:r>
        <m:r>
          <m:t>o</m:t>
        </m:r>
        <m:r>
          <m:t>w</m:t>
        </m:r>
        <m:r>
          <m:rPr>
            <m:sty m:val="p"/>
          </m:rPr>
          <m:t>*</m:t>
        </m:r>
        <m:r>
          <m:rPr>
            <m:sty m:val="p"/>
          </m:rPr>
          <m:t>*</m:t>
        </m:r>
        <m:r>
          <m:t>a</m:t>
        </m:r>
        <m:r>
          <m:t>n</m:t>
        </m:r>
        <m:r>
          <m:t>d</m:t>
        </m:r>
        <m:r>
          <m:t>r</m:t>
        </m:r>
        <m:r>
          <m:t>e</m:t>
        </m:r>
        <m:r>
          <m:t>p</m:t>
        </m:r>
        <m:r>
          <m:t>u</m:t>
        </m:r>
        <m:r>
          <m:t>r</m:t>
        </m:r>
        <m:r>
          <m:t>c</m:t>
        </m:r>
        <m:r>
          <m:t>h</m:t>
        </m:r>
        <m:r>
          <m:t>a</m:t>
        </m:r>
        <m:r>
          <m:t>s</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214 million</w:t>
      </w:r>
      <w:r>
        <w:t xml:space="preserve"> </w:t>
      </w:r>
      <w:r>
        <w:t xml:space="preserve">of stock. At quarter-end, it still had roughly</w:t>
      </w:r>
      <w:r>
        <w:t xml:space="preserve"> </w:t>
      </w:r>
      <w:r>
        <w:rPr>
          <w:b/>
          <w:bCs/>
        </w:rPr>
        <w:t xml:space="preserve">$863 million</w:t>
      </w:r>
      <w:r>
        <w:t xml:space="preserve"> </w:t>
      </w:r>
      <w:r>
        <w:t xml:space="preserve">remaining under its repurchase authorization.</w:t>
      </w:r>
    </w:p>
    <w:p>
      <w:pPr>
        <w:pStyle w:val="BodyText"/>
      </w:pPr>
      <w:r>
        <w:t xml:space="preserve">The company also pays a quarterly dividend of</w:t>
      </w:r>
      <w:r>
        <w:t xml:space="preserve"> </w:t>
      </w:r>
      <w:r>
        <w:rPr>
          <w:b/>
          <w:bCs/>
        </w:rPr>
        <w:t xml:space="preserve">$0.81 per share</w:t>
      </w:r>
      <w:r>
        <w:t xml:space="preserve">, equivalent to $3.24 annually.</w:t>
      </w:r>
    </w:p>
    <w:p>
      <w:pPr>
        <w:pStyle w:val="BodyText"/>
      </w:pPr>
      <w:r>
        <w:t xml:space="preserve">In June, VeriSign issued</w:t>
      </w:r>
      <w:r>
        <w:t xml:space="preserve"> </w:t>
      </w:r>
      <w:r>
        <w:rPr>
          <w:b/>
          <w:bCs/>
        </w:rPr>
        <w:t xml:space="preserve">$550 million of 5.10% senior notes due 2031</w:t>
      </w:r>
      <w:r>
        <w:t xml:space="preserve"> </w:t>
      </w:r>
      <w:r>
        <w:t xml:space="preserve">to redeem its outstanding</w:t>
      </w:r>
      <w:r>
        <w:t xml:space="preserve"> </w:t>
      </w:r>
      <w:r>
        <w:rPr>
          <w:b/>
          <w:bCs/>
        </w:rPr>
        <w:t xml:space="preserve">4.75% notes due 2027</w:t>
      </w:r>
      <w:r>
        <w:t xml:space="preserve">. The transaction:</w:t>
      </w:r>
    </w:p>
    <w:p>
      <w:pPr>
        <w:pStyle w:val="Compact"/>
        <w:numPr>
          <w:ilvl w:val="0"/>
          <w:numId w:val="1008"/>
        </w:numPr>
      </w:pPr>
      <w:r>
        <w:t xml:space="preserve">Extends the maturity by roughly four years;</w:t>
      </w:r>
    </w:p>
    <w:p>
      <w:pPr>
        <w:pStyle w:val="Compact"/>
        <w:numPr>
          <w:ilvl w:val="0"/>
          <w:numId w:val="1008"/>
        </w:numPr>
      </w:pPr>
      <w:r>
        <w:t xml:space="preserve">Increases annual coupon expense by only about</w:t>
      </w:r>
      <w:r>
        <w:t xml:space="preserve"> </w:t>
      </w:r>
      <w:r>
        <w:rPr>
          <w:b/>
          <w:bCs/>
        </w:rPr>
        <w:t xml:space="preserve">$1.9 million</w:t>
      </w:r>
      <w:r>
        <w:t xml:space="preserve">;</w:t>
      </w:r>
    </w:p>
    <w:p>
      <w:pPr>
        <w:pStyle w:val="Compact"/>
        <w:numPr>
          <w:ilvl w:val="0"/>
          <w:numId w:val="1008"/>
        </w:numPr>
      </w:pPr>
      <w:r>
        <w:t xml:space="preserve">Reduces near-term refinancing risk;</w:t>
      </w:r>
    </w:p>
    <w:p>
      <w:pPr>
        <w:pStyle w:val="Compact"/>
        <w:numPr>
          <w:ilvl w:val="0"/>
          <w:numId w:val="1008"/>
        </w:numPr>
      </w:pPr>
      <w:r>
        <w:t xml:space="preserve">Could create one-time accounting noise from redemption costs or overlapping interest periods.</w:t>
      </w:r>
    </w:p>
    <w:p>
      <w:pPr>
        <w:pStyle w:val="FirstParagraph"/>
      </w:pPr>
      <w:r>
        <w:t xml:space="preserve">Investors should separate any such one-time expense from the company’s underlying earnings power.</w:t>
      </w:r>
    </w:p>
    <w:bookmarkEnd w:id="15"/>
    <w:bookmarkStart w:id="19" w:name="other-issues-to-watch"/>
    <w:p>
      <w:pPr>
        <w:pStyle w:val="Heading2"/>
      </w:pPr>
      <w:r>
        <w:t xml:space="preserve">Other issues to watch</w:t>
      </w:r>
    </w:p>
    <w:bookmarkStart w:id="16" w:name="new-security-services"/>
    <w:p>
      <w:pPr>
        <w:pStyle w:val="Heading3"/>
      </w:pPr>
      <w:r>
        <w:t xml:space="preserve">New security services</w:t>
      </w:r>
    </w:p>
    <w:p>
      <w:pPr>
        <w:pStyle w:val="FirstParagraph"/>
      </w:pPr>
      <w:r>
        <w:t xml:space="preserve">Management has discussed potential security and “high assurance infrastructure” services that could be distributed through VeriSign’s existing channel. These offerings could eventually provide incremental growth, but investors should avoid assigning substantial value before the company provides details on:</w:t>
      </w:r>
    </w:p>
    <w:p>
      <w:pPr>
        <w:pStyle w:val="Compact"/>
        <w:numPr>
          <w:ilvl w:val="0"/>
          <w:numId w:val="1009"/>
        </w:numPr>
      </w:pPr>
      <w:r>
        <w:t xml:space="preserve">The actual products;</w:t>
      </w:r>
    </w:p>
    <w:p>
      <w:pPr>
        <w:pStyle w:val="Compact"/>
        <w:numPr>
          <w:ilvl w:val="0"/>
          <w:numId w:val="1009"/>
        </w:numPr>
      </w:pPr>
      <w:r>
        <w:t xml:space="preserve">Addressable market;</w:t>
      </w:r>
    </w:p>
    <w:p>
      <w:pPr>
        <w:pStyle w:val="Compact"/>
        <w:numPr>
          <w:ilvl w:val="0"/>
          <w:numId w:val="1009"/>
        </w:numPr>
      </w:pPr>
      <w:r>
        <w:t xml:space="preserve">Pricing model;</w:t>
      </w:r>
    </w:p>
    <w:p>
      <w:pPr>
        <w:pStyle w:val="Compact"/>
        <w:numPr>
          <w:ilvl w:val="0"/>
          <w:numId w:val="1009"/>
        </w:numPr>
      </w:pPr>
      <w:r>
        <w:t xml:space="preserve">Required investment; and</w:t>
      </w:r>
    </w:p>
    <w:p>
      <w:pPr>
        <w:pStyle w:val="Compact"/>
        <w:numPr>
          <w:ilvl w:val="0"/>
          <w:numId w:val="1009"/>
        </w:numPr>
      </w:pPr>
      <w:r>
        <w:t xml:space="preserve">Expected launch timeline.</w:t>
      </w:r>
    </w:p>
    <w:p>
      <w:pPr>
        <w:pStyle w:val="FirstParagraph"/>
      </w:pPr>
      <w:r>
        <w:t xml:space="preserve">For now, they are strategic optionality rather than a core earnings driver.</w:t>
      </w:r>
    </w:p>
    <w:bookmarkEnd w:id="16"/>
    <w:bookmarkStart w:id="17" w:name="icanns-new-gtld-round"/>
    <w:p>
      <w:pPr>
        <w:pStyle w:val="Heading3"/>
      </w:pPr>
      <w:r>
        <w:t xml:space="preserve">ICANN’s new gTLD round</w:t>
      </w:r>
    </w:p>
    <w:p>
      <w:pPr>
        <w:pStyle w:val="FirstParagraph"/>
      </w:pPr>
      <w:r>
        <w:t xml:space="preserve">VeriSign has been evaluating whether to participate in ICANN’s 2026 application round for new generic top-level domains. An update could clarify potential application spending and the company’s appetite to expand beyond .com and .net. Any investment is likely to be long-dated, with new domains not expected to launch until 2028 or later.</w:t>
      </w:r>
    </w:p>
    <w:bookmarkEnd w:id="17"/>
    <w:bookmarkStart w:id="18" w:name="capital-expenditures"/>
    <w:p>
      <w:pPr>
        <w:pStyle w:val="Heading3"/>
      </w:pPr>
      <w:r>
        <w:t xml:space="preserve">Capital expenditures</w:t>
      </w:r>
    </w:p>
    <w:p>
      <w:pPr>
        <w:pStyle w:val="FirstParagraph"/>
      </w:pPr>
      <w:r>
        <w:t xml:space="preserve">The 2026 capex outlook of</w:t>
      </w:r>
      <w:r>
        <w:t xml:space="preserve"> </w:t>
      </w:r>
      <m:oMath>
        <m:r>
          <m:t>55</m:t>
        </m:r>
        <m:r>
          <m:t>m</m:t>
        </m:r>
        <m:r>
          <m:t>i</m:t>
        </m:r>
        <m:r>
          <m:t>l</m:t>
        </m:r>
        <m:r>
          <m:t>l</m:t>
        </m:r>
        <m:r>
          <m:t>i</m:t>
        </m:r>
        <m:r>
          <m:t>o</m:t>
        </m:r>
        <m:r>
          <m:t>n</m:t>
        </m:r>
        <m:r>
          <m:rPr>
            <m:sty m:val="p"/>
          </m:rPr>
          <m:t>–</m:t>
        </m:r>
      </m:oMath>
      <w:r>
        <w:t xml:space="preserve">65 million is above VeriSign’s normal level due to equipment replacement, capacity expansion, higher equipment costs and headquarters projects. This should not threaten free cash flow, but investors should listen for whether AI-driven supply constraints or infrastructure projects have increased the expected spend.</w:t>
      </w:r>
    </w:p>
    <w:bookmarkEnd w:id="18"/>
    <w:bookmarkEnd w:id="19"/>
    <w:bookmarkStart w:id="20" w:name="stock-setup"/>
    <w:p>
      <w:pPr>
        <w:pStyle w:val="Heading2"/>
      </w:pPr>
      <w:r>
        <w:t xml:space="preserve">Stock setup</w:t>
      </w:r>
    </w:p>
    <w:p>
      <w:pPr>
        <w:pStyle w:val="FirstParagraph"/>
      </w:pPr>
      <w:r>
        <w:t xml:space="preserve">VRSN closed July 22 at</w:t>
      </w:r>
      <w:r>
        <w:t xml:space="preserve"> </w:t>
      </w:r>
      <w:r>
        <w:rPr>
          <w:b/>
          <w:bCs/>
        </w:rPr>
        <w:t xml:space="preserve">$262.63</w:t>
      </w:r>
      <w:r>
        <w:t xml:space="preserve">:</w:t>
      </w:r>
    </w:p>
    <w:p>
      <w:pPr>
        <w:pStyle w:val="Compact"/>
        <w:numPr>
          <w:ilvl w:val="0"/>
          <w:numId w:val="1010"/>
        </w:numPr>
      </w:pPr>
      <w:r>
        <w:t xml:space="preserve">Up approximately</w:t>
      </w:r>
      <w:r>
        <w:t xml:space="preserve"> </w:t>
      </w:r>
      <w:r>
        <w:rPr>
          <w:b/>
          <w:bCs/>
        </w:rPr>
        <w:t xml:space="preserve">8% year to date</w:t>
      </w:r>
      <w:r>
        <w:t xml:space="preserve">;</w:t>
      </w:r>
    </w:p>
    <w:p>
      <w:pPr>
        <w:pStyle w:val="Compact"/>
        <w:numPr>
          <w:ilvl w:val="0"/>
          <w:numId w:val="1010"/>
        </w:numPr>
      </w:pPr>
      <w:r>
        <w:t xml:space="preserve">Down approximately</w:t>
      </w:r>
      <w:r>
        <w:t xml:space="preserve"> </w:t>
      </w:r>
      <w:r>
        <w:rPr>
          <w:b/>
          <w:bCs/>
        </w:rPr>
        <w:t xml:space="preserve">9% from a year earlier</w:t>
      </w:r>
      <w:r>
        <w:t xml:space="preserve">;</w:t>
      </w:r>
    </w:p>
    <w:p>
      <w:pPr>
        <w:pStyle w:val="Compact"/>
        <w:numPr>
          <w:ilvl w:val="0"/>
          <w:numId w:val="1010"/>
        </w:numPr>
      </w:pPr>
      <w:r>
        <w:t xml:space="preserve">Roughly</w:t>
      </w:r>
      <w:r>
        <w:t xml:space="preserve"> </w:t>
      </w:r>
      <w:r>
        <w:rPr>
          <w:b/>
          <w:bCs/>
        </w:rPr>
        <w:t xml:space="preserve">15% below</w:t>
      </w:r>
      <w:r>
        <w:t xml:space="preserve"> </w:t>
      </w:r>
      <w:r>
        <w:t xml:space="preserve">its May 2026 high of $310.</w:t>
      </w:r>
    </w:p>
    <w:p>
      <w:pPr>
        <w:pStyle w:val="FirstParagraph"/>
      </w:pPr>
      <w:r>
        <w:t xml:space="preserve">Based on trailing diluted EPS of approximately $9.05, the shares trade near</w:t>
      </w:r>
      <w:r>
        <w:t xml:space="preserve"> </w:t>
      </w:r>
      <w:r>
        <w:rPr>
          <w:b/>
          <w:bCs/>
        </w:rPr>
        <w:t xml:space="preserve">29 times trailing earnings</w:t>
      </w:r>
      <w:r>
        <w:t xml:space="preserve">. The annualized dividend yield is about</w:t>
      </w:r>
      <w:r>
        <w:t xml:space="preserve"> </w:t>
      </w:r>
      <w:r>
        <w:rPr>
          <w:b/>
          <w:bCs/>
        </w:rPr>
        <w:t xml:space="preserve">1.2%</w:t>
      </w:r>
      <w:r>
        <w:t xml:space="preserve">.</w:t>
      </w:r>
    </w:p>
    <w:p>
      <w:pPr>
        <w:pStyle w:val="BodyText"/>
      </w:pPr>
      <w:r>
        <w:t xml:space="preserve">That valuation reflects VeriSign’s monopoly-like registry economics, recurring revenue, approximately 68% operating margin and aggressive capital returns. It also leaves the stock sensitive to evidence that domain-base growth is reverting toward its historically slower pace.</w:t>
      </w:r>
    </w:p>
    <w:bookmarkEnd w:id="20"/>
    <w:bookmarkStart w:id="24" w:name="scenario-framework"/>
    <w:p>
      <w:pPr>
        <w:pStyle w:val="Heading2"/>
      </w:pPr>
      <w:r>
        <w:t xml:space="preserve">Scenario framework</w:t>
      </w:r>
    </w:p>
    <w:bookmarkStart w:id="21" w:name="bull-case"/>
    <w:p>
      <w:pPr>
        <w:pStyle w:val="Heading3"/>
      </w:pPr>
      <w:r>
        <w:t xml:space="preserve">Bull case</w:t>
      </w:r>
    </w:p>
    <w:p>
      <w:pPr>
        <w:pStyle w:val="Compact"/>
        <w:numPr>
          <w:ilvl w:val="0"/>
          <w:numId w:val="1011"/>
        </w:numPr>
      </w:pPr>
      <w:r>
        <w:t xml:space="preserve">New registrations remain close to Q1’s elevated level.</w:t>
      </w:r>
    </w:p>
    <w:p>
      <w:pPr>
        <w:pStyle w:val="Compact"/>
        <w:numPr>
          <w:ilvl w:val="0"/>
          <w:numId w:val="1011"/>
        </w:numPr>
      </w:pPr>
      <w:r>
        <w:t xml:space="preserve">Renewals remain around 76% despite the increasing first-time-renewal mix.</w:t>
      </w:r>
    </w:p>
    <w:p>
      <w:pPr>
        <w:pStyle w:val="Compact"/>
        <w:numPr>
          <w:ilvl w:val="0"/>
          <w:numId w:val="1011"/>
        </w:numPr>
      </w:pPr>
      <w:r>
        <w:t xml:space="preserve">Domain net additions track toward the upper half of annual guidance.</w:t>
      </w:r>
    </w:p>
    <w:p>
      <w:pPr>
        <w:pStyle w:val="Compact"/>
        <w:numPr>
          <w:ilvl w:val="0"/>
          <w:numId w:val="1011"/>
        </w:numPr>
      </w:pPr>
      <w:r>
        <w:t xml:space="preserve">Management raises domain-base or financial guidance.</w:t>
      </w:r>
    </w:p>
    <w:p>
      <w:pPr>
        <w:pStyle w:val="Compact"/>
        <w:numPr>
          <w:ilvl w:val="0"/>
          <w:numId w:val="1011"/>
        </w:numPr>
      </w:pPr>
      <w:r>
        <w:t xml:space="preserve">Buybacks remain substantial.</w:t>
      </w:r>
    </w:p>
    <w:p>
      <w:pPr>
        <w:pStyle w:val="FirstParagraph"/>
      </w:pPr>
      <w:r>
        <w:t xml:space="preserve">This would suggest that AI-assisted website creation and redesigned registrar programs have produced a durable improvement in growth.</w:t>
      </w:r>
    </w:p>
    <w:bookmarkEnd w:id="21"/>
    <w:bookmarkStart w:id="22" w:name="base-case"/>
    <w:p>
      <w:pPr>
        <w:pStyle w:val="Heading3"/>
      </w:pPr>
      <w:r>
        <w:t xml:space="preserve">Base case</w:t>
      </w:r>
    </w:p>
    <w:p>
      <w:pPr>
        <w:pStyle w:val="Compact"/>
        <w:numPr>
          <w:ilvl w:val="0"/>
          <w:numId w:val="1012"/>
        </w:numPr>
      </w:pPr>
      <w:r>
        <w:t xml:space="preserve">Revenue lands around the mid-$430 millions.</w:t>
      </w:r>
    </w:p>
    <w:p>
      <w:pPr>
        <w:pStyle w:val="Compact"/>
        <w:numPr>
          <w:ilvl w:val="0"/>
          <w:numId w:val="1012"/>
        </w:numPr>
      </w:pPr>
      <w:r>
        <w:t xml:space="preserve">Operating margin remains close to 68%.</w:t>
      </w:r>
    </w:p>
    <w:p>
      <w:pPr>
        <w:pStyle w:val="Compact"/>
        <w:numPr>
          <w:ilvl w:val="0"/>
          <w:numId w:val="1012"/>
        </w:numPr>
      </w:pPr>
      <w:r>
        <w:t xml:space="preserve">Domain additions moderate from Q1 but stay consistent with annual guidance.</w:t>
      </w:r>
    </w:p>
    <w:p>
      <w:pPr>
        <w:pStyle w:val="Compact"/>
        <w:numPr>
          <w:ilvl w:val="0"/>
          <w:numId w:val="1012"/>
        </w:numPr>
      </w:pPr>
      <w:r>
        <w:t xml:space="preserve">Renewal rates soften only modestly.</w:t>
      </w:r>
    </w:p>
    <w:p>
      <w:pPr>
        <w:pStyle w:val="Compact"/>
        <w:numPr>
          <w:ilvl w:val="0"/>
          <w:numId w:val="1012"/>
        </w:numPr>
      </w:pPr>
      <w:r>
        <w:t xml:space="preserve">Management reiterates its current outlook.</w:t>
      </w:r>
    </w:p>
    <w:p>
      <w:pPr>
        <w:pStyle w:val="FirstParagraph"/>
      </w:pPr>
      <w:r>
        <w:t xml:space="preserve">This would be a satisfactory result, although the stock reaction could depend on how optimistic investors had become after Q1.</w:t>
      </w:r>
    </w:p>
    <w:bookmarkEnd w:id="22"/>
    <w:bookmarkStart w:id="23" w:name="bear-case"/>
    <w:p>
      <w:pPr>
        <w:pStyle w:val="Heading3"/>
      </w:pPr>
      <w:r>
        <w:t xml:space="preserve">Bear case</w:t>
      </w:r>
    </w:p>
    <w:p>
      <w:pPr>
        <w:pStyle w:val="Compact"/>
        <w:numPr>
          <w:ilvl w:val="0"/>
          <w:numId w:val="1013"/>
        </w:numPr>
      </w:pPr>
      <w:r>
        <w:t xml:space="preserve">New registrations fall sharply from Q1.</w:t>
      </w:r>
    </w:p>
    <w:p>
      <w:pPr>
        <w:pStyle w:val="Compact"/>
        <w:numPr>
          <w:ilvl w:val="0"/>
          <w:numId w:val="1013"/>
        </w:numPr>
      </w:pPr>
      <w:r>
        <w:t xml:space="preserve">The renewal rate weakens more than explained by mix.</w:t>
      </w:r>
    </w:p>
    <w:p>
      <w:pPr>
        <w:pStyle w:val="Compact"/>
        <w:numPr>
          <w:ilvl w:val="0"/>
          <w:numId w:val="1013"/>
        </w:numPr>
      </w:pPr>
      <w:r>
        <w:t xml:space="preserve">Sequential domain growth falls below the pace needed to reach the low end of guidance.</w:t>
      </w:r>
    </w:p>
    <w:p>
      <w:pPr>
        <w:pStyle w:val="Compact"/>
        <w:numPr>
          <w:ilvl w:val="0"/>
          <w:numId w:val="1013"/>
        </w:numPr>
      </w:pPr>
      <w:r>
        <w:t xml:space="preserve">Management retains or reduces guidance while highlighting weaker registrar activity.</w:t>
      </w:r>
    </w:p>
    <w:p>
      <w:pPr>
        <w:pStyle w:val="Compact"/>
        <w:numPr>
          <w:ilvl w:val="0"/>
          <w:numId w:val="1013"/>
        </w:numPr>
      </w:pPr>
      <w:r>
        <w:t xml:space="preserve">Marketing and new-service investment pressure margins without producing visible growth.</w:t>
      </w:r>
    </w:p>
    <w:bookmarkEnd w:id="23"/>
    <w:bookmarkEnd w:id="24"/>
    <w:bookmarkStart w:id="25" w:name="bottom-line"/>
    <w:p>
      <w:pPr>
        <w:pStyle w:val="Heading2"/>
      </w:pPr>
      <w:r>
        <w:t xml:space="preserve">Bottom line</w:t>
      </w:r>
    </w:p>
    <w:p>
      <w:pPr>
        <w:pStyle w:val="FirstParagraph"/>
      </w:pPr>
      <w:r>
        <w:t xml:space="preserve">The Q2 report is primarily a test of</w:t>
      </w:r>
      <w:r>
        <w:t xml:space="preserve"> </w:t>
      </w:r>
      <w:r>
        <w:rPr>
          <w:b/>
          <w:bCs/>
        </w:rPr>
        <w:t xml:space="preserve">domain-base durability</w:t>
      </w:r>
      <w:r>
        <w:t xml:space="preserve">, not quarterly EPS execution. VeriSign’s financial model remains exceptionally resilient, and the November price increase provides a visible medium-term tailwind. The debate is whether recent domain growth represents a sustained improvement or a temporary combination of promotions, seasonality and AI enthusiasm.</w:t>
      </w:r>
    </w:p>
    <w:p>
      <w:pPr>
        <w:pStyle w:val="BodyText"/>
      </w:pPr>
      <w:r>
        <w:t xml:space="preserve">The strongest report would pair healthy Q2 net additions with stable renewal cohorts and increased confidence in the upper end of 2026 guidance. Conversely, respectable revenue and EPS will not be enough if the domain metrics suggest that Q1’s momentum is already fading.</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2026-07-23T01:00:27Z</dcterms:created>
  <dcterms:modified xsi:type="dcterms:W3CDTF">2026-07-23T01:00:27Z</dcterms:modified>
</cp:coreProperties>
</file>

<file path=docProps/custom.xml><?xml version="1.0" encoding="utf-8"?>
<Properties xmlns="http://schemas.openxmlformats.org/officeDocument/2006/custom-properties" xmlns:vt="http://schemas.openxmlformats.org/officeDocument/2006/docPropsVTypes"/>
</file>