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verisign-vrsn-q2-2026-earnings-preview"/>
    <w:p>
      <w:pPr>
        <w:pStyle w:val="Heading1"/>
      </w:pPr>
      <w:r>
        <w:t xml:space="preserve">Verisign (VRSN) Q2 2026 Earnings Preview</w:t>
      </w:r>
    </w:p>
    <w:p>
      <w:pPr>
        <w:pStyle w:val="BlockText"/>
      </w:pPr>
      <w:r>
        <w:rPr>
          <w:b/>
          <w:bCs/>
        </w:rPr>
        <w:t xml:space="preserve">Timing note:</w:t>
      </w:r>
      <w:r>
        <w:t xml:space="preserve"> </w:t>
      </w:r>
      <w:r>
        <w:t xml:space="preserve">Today is</w:t>
      </w:r>
      <w:r>
        <w:t xml:space="preserve"> </w:t>
      </w:r>
      <w:r>
        <w:rPr>
          <w:b/>
          <w:bCs/>
        </w:rPr>
        <w:t xml:space="preserve">Thursday, July 23, 2026</w:t>
      </w:r>
      <w:r>
        <w:t xml:space="preserve">. The event date in the prompt is therefore</w:t>
      </w:r>
      <w:r>
        <w:t xml:space="preserve"> </w:t>
      </w:r>
      <w:r>
        <w:rPr>
          <w:b/>
          <w:bCs/>
        </w:rPr>
        <w:t xml:space="preserve">today, not tomorrow</w:t>
      </w:r>
      <w:r>
        <w:t xml:space="preserve">. This preview is written ahead of VRSN’s expected Q2 2026 earnings release and call.</w:t>
      </w:r>
    </w:p>
    <w:bookmarkStart w:id="9" w:name="X91259df8d71a1ee32d9e781941f96f1520081e4"/>
    <w:p>
      <w:pPr>
        <w:pStyle w:val="Heading2"/>
      </w:pPr>
      <w:r>
        <w:t xml:space="preserve">Investment view: the quarter is about proving that domain-demand acceleration is durable</w:t>
      </w:r>
    </w:p>
    <w:p>
      <w:pPr>
        <w:pStyle w:val="FirstParagraph"/>
      </w:pPr>
      <w:r>
        <w:t xml:space="preserve">Verisign enters Q2 after a notably strong first quarter: registrations accelerated, renewal trends improved, the .com/.net base reached a record, and management raised full-year guidance. The core investor question is no longer whether the regulated .com price increase can support future revenue—it is whether the operational demand recovery that preceded it can persist through the year.</w:t>
      </w:r>
    </w:p>
    <w:p>
      <w:pPr>
        <w:pStyle w:val="BodyText"/>
      </w:pPr>
      <w:r>
        <w:t xml:space="preserve">A clean Q2 should show continued healthy net additions, new registrations above the prior-year level, stable-to-improving renewal behavior, and reaffirmed or improved 2026 guidance. A weaker domain base result or more cautious commentary on second-half renewals would matter disproportionately, because the stock’s premium business model depends on steady, highly predictable volume growth as well as price.</w:t>
      </w:r>
    </w:p>
    <w:bookmarkEnd w:id="9"/>
    <w:bookmarkStart w:id="13" w:name="what-matters-most-this-quarter"/>
    <w:p>
      <w:pPr>
        <w:pStyle w:val="Heading2"/>
      </w:pPr>
      <w:r>
        <w:t xml:space="preserve">What matters most this quarter</w:t>
      </w:r>
    </w:p>
    <w:bookmarkStart w:id="10" w:name="X2c2b74da8a6ecde619c74ed255ceb329dc0d0f3"/>
    <w:p>
      <w:pPr>
        <w:pStyle w:val="Heading3"/>
      </w:pPr>
      <w:r>
        <w:t xml:space="preserve">1. .com/.net domain-base growth is the key KPI</w:t>
      </w:r>
    </w:p>
    <w:p>
      <w:pPr>
        <w:pStyle w:val="FirstParagraph"/>
      </w:pPr>
      <w:r>
        <w:t xml:space="preserve">In Q1, the .com and .net base reached</w:t>
      </w:r>
      <w:r>
        <w:t xml:space="preserve"> </w:t>
      </w:r>
      <w:r>
        <w:rPr>
          <w:b/>
          <w:bCs/>
        </w:rPr>
        <w:t xml:space="preserve">176.1 million names</w:t>
      </w:r>
      <w:r>
        <w:t xml:space="preserve">, up</w:t>
      </w:r>
      <w:r>
        <w:t xml:space="preserve"> </w:t>
      </w:r>
      <w:r>
        <w:rPr>
          <w:b/>
          <w:bCs/>
        </w:rPr>
        <w:t xml:space="preserve">3.7% year over year</w:t>
      </w:r>
      <w:r>
        <w:t xml:space="preserve">, with a very strong</w:t>
      </w:r>
      <w:r>
        <w:t xml:space="preserve"> </w:t>
      </w:r>
      <w:r>
        <w:rPr>
          <w:b/>
          <w:bCs/>
        </w:rPr>
        <w:t xml:space="preserve">2.54 million net-add</w:t>
      </w:r>
      <w:r>
        <w:t xml:space="preserve"> </w:t>
      </w:r>
      <w:r>
        <w:t xml:space="preserve">quarter. New registrations rose to</w:t>
      </w:r>
      <w:r>
        <w:t xml:space="preserve"> </w:t>
      </w:r>
      <w:r>
        <w:rPr>
          <w:b/>
          <w:bCs/>
        </w:rPr>
        <w:t xml:space="preserve">11.5 million</w:t>
      </w:r>
      <w:r>
        <w:t xml:space="preserve">, versus 10.1 million in Q1 2025. Management attributed the strength to registrar marketing programs, broad-based geographic demand—especially the U.S. and EMEA—and an AI-related tailwind that makes it easier for end users to create websites and get online.</w:t>
      </w:r>
    </w:p>
    <w:p>
      <w:pPr>
        <w:pStyle w:val="BodyText"/>
      </w:pPr>
      <w:r>
        <w:t xml:space="preserve">For Q2, investors should compare the result with a relatively modest prior-year setup:</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Operating metric</w:t>
            </w:r>
          </w:p>
        </w:tc>
        <w:tc>
          <w:tcPr/>
          <w:p>
            <w:pPr>
              <w:pStyle w:val="Compact"/>
              <w:jc w:val="right"/>
            </w:pPr>
            <w:r>
              <w:t xml:space="preserve">Q2 2025 actual</w:t>
            </w:r>
          </w:p>
        </w:tc>
        <w:tc>
          <w:tcPr/>
          <w:p>
            <w:pPr>
              <w:pStyle w:val="Compact"/>
              <w:jc w:val="right"/>
            </w:pPr>
            <w:r>
              <w:t xml:space="preserve">Q1 2026 actual</w:t>
            </w:r>
          </w:p>
        </w:tc>
        <w:tc>
          <w:tcPr/>
          <w:p>
            <w:pPr>
              <w:pStyle w:val="Compact"/>
            </w:pPr>
            <w:r>
              <w:t xml:space="preserve">Q2 2026 focus</w:t>
            </w:r>
          </w:p>
        </w:tc>
      </w:tr>
      <w:tr>
        <w:tc>
          <w:tcPr/>
          <w:p>
            <w:pPr>
              <w:pStyle w:val="Compact"/>
            </w:pPr>
            <w:r>
              <w:t xml:space="preserve">.com/.net domain base</w:t>
            </w:r>
          </w:p>
        </w:tc>
        <w:tc>
          <w:tcPr/>
          <w:p>
            <w:pPr>
              <w:pStyle w:val="Compact"/>
              <w:jc w:val="right"/>
            </w:pPr>
            <w:r>
              <w:t xml:space="preserve">170.5m</w:t>
            </w:r>
          </w:p>
        </w:tc>
        <w:tc>
          <w:tcPr/>
          <w:p>
            <w:pPr>
              <w:pStyle w:val="Compact"/>
              <w:jc w:val="right"/>
            </w:pPr>
            <w:r>
              <w:t xml:space="preserve">176.1m</w:t>
            </w:r>
          </w:p>
        </w:tc>
        <w:tc>
          <w:tcPr/>
          <w:p>
            <w:pPr>
              <w:pStyle w:val="Compact"/>
            </w:pPr>
            <w:r>
              <w:t xml:space="preserve">Continued year-over-year acceleration</w:t>
            </w:r>
          </w:p>
        </w:tc>
      </w:tr>
      <w:tr>
        <w:tc>
          <w:tcPr/>
          <w:p>
            <w:pPr>
              <w:pStyle w:val="Compact"/>
            </w:pPr>
            <w:r>
              <w:t xml:space="preserve">Quarterly net additions</w:t>
            </w:r>
          </w:p>
        </w:tc>
        <w:tc>
          <w:tcPr/>
          <w:p>
            <w:pPr>
              <w:pStyle w:val="Compact"/>
              <w:jc w:val="right"/>
            </w:pPr>
            <w:r>
              <w:t xml:space="preserve">0.66m</w:t>
            </w:r>
          </w:p>
        </w:tc>
        <w:tc>
          <w:tcPr/>
          <w:p>
            <w:pPr>
              <w:pStyle w:val="Compact"/>
              <w:jc w:val="right"/>
            </w:pPr>
            <w:r>
              <w:t xml:space="preserve">2.54m</w:t>
            </w:r>
          </w:p>
        </w:tc>
        <w:tc>
          <w:tcPr/>
          <w:p>
            <w:pPr>
              <w:pStyle w:val="Compact"/>
            </w:pPr>
            <w:r>
              <w:t xml:space="preserve">Whether demand normalizes or remains elevated</w:t>
            </w:r>
          </w:p>
        </w:tc>
      </w:tr>
      <w:tr>
        <w:tc>
          <w:tcPr/>
          <w:p>
            <w:pPr>
              <w:pStyle w:val="Compact"/>
            </w:pPr>
            <w:r>
              <w:t xml:space="preserve">New registrations</w:t>
            </w:r>
          </w:p>
        </w:tc>
        <w:tc>
          <w:tcPr/>
          <w:p>
            <w:pPr>
              <w:pStyle w:val="Compact"/>
              <w:jc w:val="right"/>
            </w:pPr>
            <w:r>
              <w:t xml:space="preserve">10.4m</w:t>
            </w:r>
          </w:p>
        </w:tc>
        <w:tc>
          <w:tcPr/>
          <w:p>
            <w:pPr>
              <w:pStyle w:val="Compact"/>
              <w:jc w:val="right"/>
            </w:pPr>
            <w:r>
              <w:t xml:space="preserve">11.5m</w:t>
            </w:r>
          </w:p>
        </w:tc>
        <w:tc>
          <w:tcPr/>
          <w:p>
            <w:pPr>
              <w:pStyle w:val="Compact"/>
            </w:pPr>
            <w:r>
              <w:t xml:space="preserve">Sustained double-digit or high-single-digit growth</w:t>
            </w:r>
          </w:p>
        </w:tc>
      </w:tr>
      <w:tr>
        <w:tc>
          <w:tcPr/>
          <w:p>
            <w:pPr>
              <w:pStyle w:val="Compact"/>
            </w:pPr>
            <w:r>
              <w:t xml:space="preserve">Renewal rate</w:t>
            </w:r>
          </w:p>
        </w:tc>
        <w:tc>
          <w:tcPr/>
          <w:p>
            <w:pPr>
              <w:pStyle w:val="Compact"/>
              <w:jc w:val="right"/>
            </w:pPr>
            <w:r>
              <w:t xml:space="preserve">75.5%</w:t>
            </w:r>
          </w:p>
        </w:tc>
        <w:tc>
          <w:tcPr/>
          <w:p>
            <w:pPr>
              <w:pStyle w:val="Compact"/>
              <w:jc w:val="right"/>
            </w:pPr>
            <w:r>
              <w:t xml:space="preserve">76.3% expected for Q1</w:t>
            </w:r>
          </w:p>
        </w:tc>
        <w:tc>
          <w:tcPr/>
          <w:p>
            <w:pPr>
              <w:pStyle w:val="Compact"/>
            </w:pPr>
            <w:r>
              <w:t xml:space="preserve">Stability despite a larger first-time-renewal cohort</w:t>
            </w:r>
          </w:p>
        </w:tc>
      </w:tr>
    </w:tbl>
    <w:p>
      <w:pPr>
        <w:pStyle w:val="BodyText"/>
      </w:pPr>
      <w:r>
        <w:t xml:space="preserve">Management’s full-year domain-base-growth guide is</w:t>
      </w:r>
      <w:r>
        <w:t xml:space="preserve"> </w:t>
      </w:r>
      <w:r>
        <w:rPr>
          <w:b/>
          <w:bCs/>
        </w:rPr>
        <w:t xml:space="preserve">3.1%–4.3%</w:t>
      </w:r>
      <w:r>
        <w:t xml:space="preserve">. With Q1 already contributing 2.54 million net adds, Q2 does not need to replicate that unusually strong result—but it needs to confirm that Q1 was not merely promotional or timing-driven.</w:t>
      </w:r>
    </w:p>
    <w:bookmarkEnd w:id="10"/>
    <w:bookmarkStart w:id="11" w:name="Xa8659684edee44e59dd891269d55cd795b75bdf"/>
    <w:p>
      <w:pPr>
        <w:pStyle w:val="Heading3"/>
      </w:pPr>
      <w:r>
        <w:t xml:space="preserve">2. Renewals are likely the most important “quality” indicator</w:t>
      </w:r>
    </w:p>
    <w:p>
      <w:pPr>
        <w:pStyle w:val="FirstParagraph"/>
      </w:pPr>
      <w:r>
        <w:t xml:space="preserve">The Q1 call contained a useful caveat: stronger new registrations in the second half of 2025 mean a larger proportion of first-time renewals will occur in the back half of 2026. Management said first-time renewals historically run in the</w:t>
      </w:r>
      <w:r>
        <w:t xml:space="preserve"> </w:t>
      </w:r>
      <w:r>
        <w:rPr>
          <w:b/>
          <w:bCs/>
        </w:rPr>
        <w:t xml:space="preserve">mid-40% range</w:t>
      </w:r>
      <w:r>
        <w:t xml:space="preserve">, while previously renewed names are in the</w:t>
      </w:r>
      <w:r>
        <w:t xml:space="preserve"> </w:t>
      </w:r>
      <w:r>
        <w:rPr>
          <w:b/>
          <w:bCs/>
        </w:rPr>
        <w:t xml:space="preserve">mid-80% range</w:t>
      </w:r>
      <w:r>
        <w:t xml:space="preserve">.</w:t>
      </w:r>
    </w:p>
    <w:p>
      <w:pPr>
        <w:pStyle w:val="BodyText"/>
      </w:pPr>
      <w:r>
        <w:t xml:space="preserve">That mix shift makes the Q2 commentary on renewals important even though final renewal rates are reported with a lag. Investors should listen for:</w:t>
      </w:r>
    </w:p>
    <w:p>
      <w:pPr>
        <w:pStyle w:val="Compact"/>
        <w:numPr>
          <w:ilvl w:val="0"/>
          <w:numId w:val="1001"/>
        </w:numPr>
      </w:pPr>
      <w:r>
        <w:t xml:space="preserve">Whether the company still expects “good solid” renewal rates through 2026;</w:t>
      </w:r>
    </w:p>
    <w:p>
      <w:pPr>
        <w:pStyle w:val="Compact"/>
        <w:numPr>
          <w:ilvl w:val="0"/>
          <w:numId w:val="1001"/>
        </w:numPr>
      </w:pPr>
      <w:r>
        <w:t xml:space="preserve">Evidence that registrar programs are attracting higher-quality registrations rather than low-retention promotional registrations;</w:t>
      </w:r>
    </w:p>
    <w:p>
      <w:pPr>
        <w:pStyle w:val="Compact"/>
        <w:numPr>
          <w:ilvl w:val="0"/>
          <w:numId w:val="1001"/>
        </w:numPr>
      </w:pPr>
      <w:r>
        <w:t xml:space="preserve">Any early indication that retail pricing or promotional intensity is changing;</w:t>
      </w:r>
    </w:p>
    <w:p>
      <w:pPr>
        <w:pStyle w:val="Compact"/>
        <w:numPr>
          <w:ilvl w:val="0"/>
          <w:numId w:val="1001"/>
        </w:numPr>
      </w:pPr>
      <w:r>
        <w:t xml:space="preserve">Management’s view of renewal elasticity ahead of the November .com wholesale price increase.</w:t>
      </w:r>
    </w:p>
    <w:p>
      <w:pPr>
        <w:pStyle w:val="FirstParagraph"/>
      </w:pPr>
      <w:r>
        <w:t xml:space="preserve">A strong Q2 registration number without confidence in retention would be less valuable than a slightly softer registration number accompanied by durable renewal trends.</w:t>
      </w:r>
    </w:p>
    <w:bookmarkEnd w:id="11"/>
    <w:bookmarkStart w:id="12" w:name="X286a03227dc08fbdc0bb306da6cf4444ffc828e"/>
    <w:p>
      <w:pPr>
        <w:pStyle w:val="Heading3"/>
      </w:pPr>
      <w:r>
        <w:t xml:space="preserve">3. Guidance carries more weight than the headline quarterly beat</w:t>
      </w:r>
    </w:p>
    <w:p>
      <w:pPr>
        <w:pStyle w:val="FirstParagraph"/>
      </w:pPr>
      <w:r>
        <w:t xml:space="preserve">After Q1, Verisign raised and narrowed 2026 guidance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 issued in Q1</w:t>
            </w:r>
          </w:p>
        </w:tc>
        <w:tc>
          <w:tcPr/>
          <w:p>
            <w:pPr>
              <w:pStyle w:val="Compact"/>
              <w:jc w:val="right"/>
            </w:pPr>
            <w:r>
              <w:t xml:space="preserve">Range</w:t>
            </w:r>
          </w:p>
        </w:tc>
      </w:tr>
      <w:tr>
        <w:tc>
          <w:tcPr/>
          <w:p>
            <w:pPr>
              <w:pStyle w:val="Compact"/>
            </w:pPr>
            <w:r>
              <w:t xml:space="preserve">Revenue</w:t>
            </w:r>
          </w:p>
        </w:tc>
        <w:tc>
          <w:tcPr/>
          <w:p>
            <w:pPr>
              <w:pStyle w:val="Compact"/>
              <w:jc w:val="right"/>
            </w:pPr>
            <m:oMath>
              <m:r>
                <m:t>1.730</m:t>
              </m:r>
              <m:r>
                <m:t>b</m:t>
              </m:r>
              <m:r>
                <m:t>n</m:t>
              </m:r>
              <m:r>
                <m:rPr>
                  <m:sty m:val="p"/>
                </m:rPr>
                <m:t>–</m:t>
              </m:r>
            </m:oMath>
            <w:r>
              <w:rPr>
                <w:b/>
                <w:bCs/>
              </w:rPr>
              <w:t xml:space="preserve">1.745bn</w:t>
            </w:r>
          </w:p>
        </w:tc>
      </w:tr>
      <w:tr>
        <w:tc>
          <w:tcPr/>
          <w:p>
            <w:pPr>
              <w:pStyle w:val="Compact"/>
            </w:pPr>
            <w:r>
              <w:t xml:space="preserve">Operating income</w:t>
            </w:r>
          </w:p>
        </w:tc>
        <w:tc>
          <w:tcPr/>
          <w:p>
            <w:pPr>
              <w:pStyle w:val="Compact"/>
              <w:jc w:val="right"/>
            </w:pPr>
            <m:oMath>
              <m:r>
                <m:t>1.170</m:t>
              </m:r>
              <m:r>
                <m:t>b</m:t>
              </m:r>
              <m:r>
                <m:t>n</m:t>
              </m:r>
              <m:r>
                <m:rPr>
                  <m:sty m:val="p"/>
                </m:rPr>
                <m:t>–</m:t>
              </m:r>
            </m:oMath>
            <w:r>
              <w:rPr>
                <w:b/>
                <w:bCs/>
              </w:rPr>
              <w:t xml:space="preserve">1.185bn</w:t>
            </w:r>
          </w:p>
        </w:tc>
      </w:tr>
      <w:tr>
        <w:tc>
          <w:tcPr/>
          <w:p>
            <w:pPr>
              <w:pStyle w:val="Compact"/>
            </w:pPr>
            <w:r>
              <w:t xml:space="preserve">Net interest expense / non-operating income</w:t>
            </w:r>
          </w:p>
        </w:tc>
        <w:tc>
          <w:tcPr/>
          <w:p>
            <w:pPr>
              <w:pStyle w:val="Compact"/>
              <w:jc w:val="right"/>
            </w:pPr>
            <m:oMath>
              <m:r>
                <m:t>57</m:t>
              </m:r>
              <m:r>
                <m:t>m</m:t>
              </m:r>
              <m:r>
                <m:rPr>
                  <m:sty m:val="p"/>
                </m:rPr>
                <m:t>–</m:t>
              </m:r>
            </m:oMath>
            <w:r>
              <w:rPr>
                <w:b/>
                <w:bCs/>
              </w:rPr>
              <w:t xml:space="preserve">67m expense</w:t>
            </w:r>
          </w:p>
        </w:tc>
      </w:tr>
      <w:tr>
        <w:tc>
          <w:tcPr/>
          <w:p>
            <w:pPr>
              <w:pStyle w:val="Compact"/>
            </w:pPr>
            <w:r>
              <w:t xml:space="preserve">Capital expenditures</w:t>
            </w:r>
          </w:p>
        </w:tc>
        <w:tc>
          <w:tcPr/>
          <w:p>
            <w:pPr>
              <w:pStyle w:val="Compact"/>
              <w:jc w:val="right"/>
            </w:pPr>
            <m:oMath>
              <m:r>
                <m:t>55</m:t>
              </m:r>
              <m:r>
                <m:t>m</m:t>
              </m:r>
              <m:r>
                <m:rPr>
                  <m:sty m:val="p"/>
                </m:rPr>
                <m:t>–</m:t>
              </m:r>
            </m:oMath>
            <w:r>
              <w:rPr>
                <w:b/>
                <w:bCs/>
              </w:rPr>
              <w:t xml:space="preserve">65m</w:t>
            </w:r>
          </w:p>
        </w:tc>
      </w:tr>
      <w:tr>
        <w:tc>
          <w:tcPr/>
          <w:p>
            <w:pPr>
              <w:pStyle w:val="Compact"/>
            </w:pPr>
            <w:r>
              <w:t xml:space="preserve">GAAP tax rate</w:t>
            </w:r>
          </w:p>
        </w:tc>
        <w:tc>
          <w:tcPr/>
          <w:p>
            <w:pPr>
              <w:pStyle w:val="Compact"/>
              <w:jc w:val="right"/>
            </w:pPr>
            <w:r>
              <w:rPr>
                <w:b/>
                <w:bCs/>
              </w:rPr>
              <w:t xml:space="preserve">22%–25%</w:t>
            </w:r>
          </w:p>
        </w:tc>
      </w:tr>
      <w:tr>
        <w:tc>
          <w:tcPr/>
          <w:p>
            <w:pPr>
              <w:pStyle w:val="Compact"/>
            </w:pPr>
            <w:r>
              <w:t xml:space="preserve">Domain-base growth</w:t>
            </w:r>
          </w:p>
        </w:tc>
        <w:tc>
          <w:tcPr/>
          <w:p>
            <w:pPr>
              <w:pStyle w:val="Compact"/>
              <w:jc w:val="right"/>
            </w:pPr>
            <w:r>
              <w:rPr>
                <w:b/>
                <w:bCs/>
              </w:rPr>
              <w:t xml:space="preserve">3.1%–4.3%</w:t>
            </w:r>
          </w:p>
        </w:tc>
      </w:tr>
    </w:tbl>
    <w:p>
      <w:pPr>
        <w:pStyle w:val="BodyText"/>
      </w:pPr>
      <w:r>
        <w:t xml:space="preserve">The primary question is whether management</w:t>
      </w:r>
      <w:r>
        <w:t xml:space="preserve"> </w:t>
      </w:r>
      <w:r>
        <w:rPr>
          <w:b/>
          <w:bCs/>
        </w:rPr>
        <w:t xml:space="preserve">reaffirms, narrows, or raises</w:t>
      </w:r>
      <w:r>
        <w:t xml:space="preserve"> </w:t>
      </w:r>
      <w:r>
        <w:t xml:space="preserve">these ranges. Given Q1’s demand strength, a simple reaffirmation could be interpreted as conservatism—provided the company shows solid Q2 domain data. A reduction in the domain-growth outlook, however, would likely overwhelm an EPS beat.</w:t>
      </w:r>
    </w:p>
    <w:bookmarkEnd w:id="12"/>
    <w:bookmarkEnd w:id="13"/>
    <w:bookmarkStart w:id="14" w:name="Xd327af3608e1554548ebd289218eedb0fb2127e"/>
    <w:p>
      <w:pPr>
        <w:pStyle w:val="Heading2"/>
      </w:pPr>
      <w:r>
        <w:t xml:space="preserve">Financial setup: high-margin growth, plus buybacks and dividends</w:t>
      </w:r>
    </w:p>
    <w:p>
      <w:pPr>
        <w:pStyle w:val="FirstParagraph"/>
      </w:pPr>
      <w:r>
        <w:t xml:space="preserve">Verisign’s model remains exceptionally profitable and cash generative. In Q1 2026, revenue rose</w:t>
      </w:r>
      <w:r>
        <w:t xml:space="preserve"> </w:t>
      </w:r>
      <w:r>
        <w:rPr>
          <w:b/>
          <w:bCs/>
        </w:rPr>
        <w:t xml:space="preserve">6.6%</w:t>
      </w:r>
      <w:r>
        <w:t xml:space="preserve"> </w:t>
      </w:r>
      <w:r>
        <w:t xml:space="preserve">year over year to</w:t>
      </w:r>
      <w:r>
        <w:t xml:space="preserve"> </w:t>
      </w:r>
      <m:oMath>
        <m:r>
          <m:t>428.9</m:t>
        </m:r>
        <m:r>
          <m:t>m</m:t>
        </m:r>
        <m:r>
          <m:t>i</m:t>
        </m:r>
        <m:r>
          <m:t>l</m:t>
        </m:r>
        <m:r>
          <m:t>l</m:t>
        </m:r>
        <m:r>
          <m:t>i</m:t>
        </m:r>
        <m:r>
          <m:t>o</m:t>
        </m:r>
        <m:r>
          <m:t>n</m:t>
        </m:r>
        <m:r>
          <m:rPr>
            <m:sty m:val="p"/>
          </m:rPr>
          <m:t>*</m:t>
        </m:r>
        <m:r>
          <m:rPr>
            <m:sty m:val="p"/>
          </m:rPr>
          <m:t>*</m:t>
        </m:r>
        <m:r>
          <m:rPr>
            <m:sty m:val="p"/>
          </m:rPr>
          <m:t>,</m:t>
        </m:r>
        <m:r>
          <m:t>o</m:t>
        </m:r>
        <m:r>
          <m:t>p</m:t>
        </m:r>
        <m:r>
          <m:t>e</m:t>
        </m:r>
        <m:r>
          <m:t>r</m:t>
        </m:r>
        <m:r>
          <m:t>a</m:t>
        </m:r>
        <m:r>
          <m:t>t</m:t>
        </m:r>
        <m:r>
          <m:t>i</m:t>
        </m:r>
        <m:r>
          <m:t>n</m:t>
        </m:r>
        <m:r>
          <m:t>g</m:t>
        </m:r>
        <m:r>
          <m:t>i</m:t>
        </m:r>
        <m:r>
          <m:t>n</m:t>
        </m:r>
        <m:r>
          <m:t>c</m:t>
        </m:r>
        <m:r>
          <m:t>o</m:t>
        </m:r>
        <m:r>
          <m:t>m</m:t>
        </m:r>
        <m:r>
          <m:t>e</m:t>
        </m:r>
        <m:r>
          <m:t>r</m:t>
        </m:r>
        <m:r>
          <m:t>o</m:t>
        </m:r>
        <m:r>
          <m:t>s</m:t>
        </m:r>
        <m:r>
          <m:t>e</m:t>
        </m:r>
        <m:r>
          <m:rPr>
            <m:sty m:val="p"/>
          </m:rPr>
          <m:t>*</m:t>
        </m:r>
        <m:r>
          <m:rPr>
            <m:sty m:val="p"/>
          </m:rPr>
          <m:t>*</m:t>
        </m:r>
        <m:r>
          <m:t>8.3</m:t>
        </m:r>
      </m:oMath>
      <w:r>
        <w:rPr>
          <w:b/>
          <w:bCs/>
        </w:rPr>
        <w:t xml:space="preserve">293.6 million</w:t>
      </w:r>
      <w:r>
        <w:t xml:space="preserve">, and diluted EPS increased</w:t>
      </w:r>
      <w:r>
        <w:t xml:space="preserve"> </w:t>
      </w:r>
      <w:r>
        <w:rPr>
          <w:b/>
          <w:bCs/>
        </w:rPr>
        <w:t xml:space="preserve">11.4%</w:t>
      </w:r>
      <w:r>
        <w:t xml:space="preserve"> </w:t>
      </w:r>
      <w:r>
        <w:t xml:space="preserve">to</w:t>
      </w:r>
      <w:r>
        <w:t xml:space="preserve"> </w:t>
      </w:r>
      <w:r>
        <w:rPr>
          <w:b/>
          <w:bCs/>
        </w:rPr>
        <w:t xml:space="preserve">$2.34</w:t>
      </w:r>
      <w:r>
        <w:t xml:space="preserve">. The operating margin was roughly</w:t>
      </w:r>
      <w:r>
        <w:t xml:space="preserve"> </w:t>
      </w:r>
      <w:r>
        <w:rPr>
          <w:b/>
          <w:bCs/>
        </w:rPr>
        <w:t xml:space="preserve">68.5%</w:t>
      </w:r>
      <w:r>
        <w:t xml:space="preserve">.</w:t>
      </w:r>
    </w:p>
    <w:p>
      <w:pPr>
        <w:pStyle w:val="BodyText"/>
      </w:pPr>
      <w:r>
        <w:t xml:space="preserve">The Q2 2025 comparison base was:</w:t>
      </w:r>
    </w:p>
    <w:p>
      <w:pPr>
        <w:pStyle w:val="Compact"/>
        <w:numPr>
          <w:ilvl w:val="0"/>
          <w:numId w:val="1002"/>
        </w:numPr>
      </w:pPr>
      <w:r>
        <w:t xml:space="preserve">Revenue:</w:t>
      </w:r>
      <w:r>
        <w:t xml:space="preserve"> </w:t>
      </w:r>
      <w:r>
        <w:rPr>
          <w:b/>
          <w:bCs/>
        </w:rPr>
        <w:t xml:space="preserve">$409.9 million</w:t>
      </w:r>
    </w:p>
    <w:p>
      <w:pPr>
        <w:pStyle w:val="Compact"/>
        <w:numPr>
          <w:ilvl w:val="0"/>
          <w:numId w:val="1002"/>
        </w:numPr>
      </w:pPr>
      <w:r>
        <w:t xml:space="preserve">Operating income:</w:t>
      </w:r>
      <w:r>
        <w:t xml:space="preserve"> </w:t>
      </w:r>
      <w:r>
        <w:rPr>
          <w:b/>
          <w:bCs/>
        </w:rPr>
        <w:t xml:space="preserve">$280.7 million</w:t>
      </w:r>
    </w:p>
    <w:p>
      <w:pPr>
        <w:pStyle w:val="Compact"/>
        <w:numPr>
          <w:ilvl w:val="0"/>
          <w:numId w:val="1002"/>
        </w:numPr>
      </w:pPr>
      <w:r>
        <w:t xml:space="preserve">Diluted EPS:</w:t>
      </w:r>
      <w:r>
        <w:t xml:space="preserve"> </w:t>
      </w:r>
      <w:r>
        <w:rPr>
          <w:b/>
          <w:bCs/>
        </w:rPr>
        <w:t xml:space="preserve">$2.21</w:t>
      </w:r>
    </w:p>
    <w:p>
      <w:pPr>
        <w:pStyle w:val="Compact"/>
        <w:numPr>
          <w:ilvl w:val="0"/>
          <w:numId w:val="1002"/>
        </w:numPr>
      </w:pPr>
      <w:r>
        <w:t xml:space="preserve">Operating cash flow:</w:t>
      </w:r>
      <w:r>
        <w:t xml:space="preserve"> </w:t>
      </w:r>
      <w:r>
        <w:rPr>
          <w:b/>
          <w:bCs/>
        </w:rPr>
        <w:t xml:space="preserve">$202 million</w:t>
      </w:r>
    </w:p>
    <w:p>
      <w:pPr>
        <w:pStyle w:val="FirstParagraph"/>
      </w:pPr>
      <w:r>
        <w:t xml:space="preserve">The revenue setup is favorable because current-period revenue benefits from sustained domain-base growth and the February 2024 .com price increase. The next .com wholesale-price increase—from</w:t>
      </w:r>
      <w:r>
        <w:t xml:space="preserve"> </w:t>
      </w:r>
      <w:r>
        <w:rPr>
          <w:b/>
          <w:bCs/>
        </w:rPr>
        <w:t xml:space="preserve">$10.26 to $10.97</w:t>
      </w:r>
      <w:r>
        <w:t xml:space="preserve">—does not take effect until</w:t>
      </w:r>
      <w:r>
        <w:t xml:space="preserve"> </w:t>
      </w:r>
      <w:r>
        <w:rPr>
          <w:b/>
          <w:bCs/>
        </w:rPr>
        <w:t xml:space="preserve">November 1, 2026</w:t>
      </w:r>
      <w:r>
        <w:t xml:space="preserve">, so it is principally a 2027 revenue catalyst rather than a Q2 or Q3 driver.</w:t>
      </w:r>
    </w:p>
    <w:p>
      <w:pPr>
        <w:pStyle w:val="BodyText"/>
      </w:pPr>
      <w:r>
        <w:t xml:space="preserve">Capital return remains an important part of the equity story. Verisign repurchased</w:t>
      </w:r>
      <w:r>
        <w:t xml:space="preserve"> </w:t>
      </w:r>
      <m:oMath>
        <m:r>
          <m:t>214</m:t>
        </m:r>
        <m:r>
          <m:t>m</m:t>
        </m:r>
        <m:r>
          <m:t>i</m:t>
        </m:r>
        <m:r>
          <m:t>l</m:t>
        </m:r>
        <m:r>
          <m:t>l</m:t>
        </m:r>
        <m:r>
          <m:t>i</m:t>
        </m:r>
        <m:r>
          <m:t>o</m:t>
        </m:r>
        <m:r>
          <m:t>n</m:t>
        </m:r>
        <m:r>
          <m:rPr>
            <m:sty m:val="p"/>
          </m:rPr>
          <m:t>*</m:t>
        </m:r>
        <m:r>
          <m:rPr>
            <m:sty m:val="p"/>
          </m:rPr>
          <m:t>*</m:t>
        </m:r>
        <m:r>
          <m:t>o</m:t>
        </m:r>
        <m:r>
          <m:t>f</m:t>
        </m:r>
        <m:r>
          <m:t>s</m:t>
        </m:r>
        <m:r>
          <m:t>t</m:t>
        </m:r>
        <m:r>
          <m:t>o</m:t>
        </m:r>
        <m:r>
          <m:t>c</m:t>
        </m:r>
        <m:r>
          <m:t>k</m:t>
        </m:r>
        <m:r>
          <m:t>i</m:t>
        </m:r>
        <m:r>
          <m:t>n</m:t>
        </m:r>
        <m:r>
          <m:t>Q</m:t>
        </m:r>
        <m:r>
          <m:t>1</m:t>
        </m:r>
        <m:r>
          <m:t>a</m:t>
        </m:r>
        <m:r>
          <m:t>n</m:t>
        </m:r>
        <m:r>
          <m:t>d</m:t>
        </m:r>
        <m:r>
          <m:t>h</m:t>
        </m:r>
        <m:r>
          <m:t>a</m:t>
        </m:r>
        <m:r>
          <m:t>d</m:t>
        </m:r>
        <m:r>
          <m:rPr>
            <m:sty m:val="p"/>
          </m:rPr>
          <m:t>*</m:t>
        </m:r>
        <m:r>
          <m:rPr>
            <m:sty m:val="p"/>
          </m:rPr>
          <m:t>*</m:t>
        </m:r>
      </m:oMath>
      <w:r>
        <w:rPr>
          <w:b/>
          <w:bCs/>
        </w:rPr>
        <w:t xml:space="preserve">863 million</w:t>
      </w:r>
      <w:r>
        <w:t xml:space="preserve"> </w:t>
      </w:r>
      <w:r>
        <w:t xml:space="preserve">remaining under its authorization at quarter-end. It also pays a quarterly dividend, most recently</w:t>
      </w:r>
      <w:r>
        <w:t xml:space="preserve"> </w:t>
      </w:r>
      <w:r>
        <w:rPr>
          <w:b/>
          <w:bCs/>
        </w:rPr>
        <w:t xml:space="preserve">$0.81 per share</w:t>
      </w:r>
      <w:r>
        <w:t xml:space="preserve">. With shares outstanding declining, EPS can continue to grow faster than net income, but investors should distinguish between operating growth and per-share growth from repurchases.</w:t>
      </w:r>
    </w:p>
    <w:bookmarkEnd w:id="14"/>
    <w:bookmarkStart w:id="15" w:name="X5687d90352e7d530c2dc031b097950b3ae52e1a"/>
    <w:p>
      <w:pPr>
        <w:pStyle w:val="Heading2"/>
      </w:pPr>
      <w:r>
        <w:t xml:space="preserve">Balance-sheet item to watch: June refinancing</w:t>
      </w:r>
    </w:p>
    <w:p>
      <w:pPr>
        <w:pStyle w:val="FirstParagraph"/>
      </w:pPr>
      <w:r>
        <w:t xml:space="preserve">In June, Verisign issued</w:t>
      </w:r>
      <w:r>
        <w:t xml:space="preserve"> </w:t>
      </w:r>
      <m:oMath>
        <m:r>
          <m:t>550</m:t>
        </m:r>
        <m:r>
          <m:t>m</m:t>
        </m:r>
        <m:r>
          <m:t>i</m:t>
        </m:r>
        <m:r>
          <m:t>l</m:t>
        </m:r>
        <m:r>
          <m:t>l</m:t>
        </m:r>
        <m:r>
          <m:t>i</m:t>
        </m:r>
        <m:r>
          <m:t>o</m:t>
        </m:r>
        <m:r>
          <m:t>n</m:t>
        </m:r>
        <m:r>
          <m:t>o</m:t>
        </m:r>
        <m:r>
          <m:t>f</m:t>
        </m:r>
        <m:r>
          <m:t>5.10</m:t>
        </m:r>
      </m:oMath>
      <w:r>
        <w:rPr>
          <w:b/>
          <w:bCs/>
        </w:rPr>
        <w:t xml:space="preserve">545 million</w:t>
      </w:r>
      <w:r>
        <w:t xml:space="preserve"> </w:t>
      </w:r>
      <w:r>
        <w:t xml:space="preserve">of net proceeds, plus cash on hand, to redeem its</w:t>
      </w:r>
      <w:r>
        <w:t xml:space="preserve"> </w:t>
      </w:r>
      <w:r>
        <w:rPr>
          <w:b/>
          <w:bCs/>
        </w:rPr>
        <w:t xml:space="preserve">$550 million of 4.75% notes due 2027</w:t>
      </w:r>
      <w:r>
        <w:t xml:space="preserve">.</w:t>
      </w:r>
    </w:p>
    <w:p>
      <w:pPr>
        <w:pStyle w:val="BodyText"/>
      </w:pPr>
      <w:r>
        <w:t xml:space="preserve">The transaction extends the maturity profile, but it also raises the coupon on that tranche by 35 basis points. The Q2 release and call should clarify:</w:t>
      </w:r>
    </w:p>
    <w:p>
      <w:pPr>
        <w:pStyle w:val="Compact"/>
        <w:numPr>
          <w:ilvl w:val="0"/>
          <w:numId w:val="1003"/>
        </w:numPr>
      </w:pPr>
      <w:r>
        <w:t xml:space="preserve">Whether the redemption of the 2027 notes was completed during the quarter;</w:t>
      </w:r>
    </w:p>
    <w:p>
      <w:pPr>
        <w:pStyle w:val="Compact"/>
        <w:numPr>
          <w:ilvl w:val="0"/>
          <w:numId w:val="1003"/>
        </w:numPr>
      </w:pPr>
      <w:r>
        <w:t xml:space="preserve">Any call premium, debt-extinguishment charge, or deferred-financing-cost write-off;</w:t>
      </w:r>
    </w:p>
    <w:p>
      <w:pPr>
        <w:pStyle w:val="Compact"/>
        <w:numPr>
          <w:ilvl w:val="0"/>
          <w:numId w:val="1003"/>
        </w:numPr>
      </w:pPr>
      <w:r>
        <w:t xml:space="preserve">The resulting quarterly and full-year interest-expense outlook;</w:t>
      </w:r>
    </w:p>
    <w:p>
      <w:pPr>
        <w:pStyle w:val="Compact"/>
        <w:numPr>
          <w:ilvl w:val="0"/>
          <w:numId w:val="1003"/>
        </w:numPr>
      </w:pPr>
      <w:r>
        <w:t xml:space="preserve">Whether the refinancing changes the pace of buybacks.</w:t>
      </w:r>
    </w:p>
    <w:p>
      <w:pPr>
        <w:pStyle w:val="FirstParagraph"/>
      </w:pPr>
      <w:r>
        <w:t xml:space="preserve">This should not alter the strategic thesis, but it could create modest noise in GAAP earnings or cash-flow presentation.</w:t>
      </w:r>
    </w:p>
    <w:bookmarkEnd w:id="15"/>
    <w:bookmarkStart w:id="16" w:name="stock-setup-into-the-print"/>
    <w:p>
      <w:pPr>
        <w:pStyle w:val="Heading2"/>
      </w:pPr>
      <w:r>
        <w:t xml:space="preserve">Stock setup into the print</w:t>
      </w:r>
    </w:p>
    <w:p>
      <w:pPr>
        <w:pStyle w:val="FirstParagraph"/>
      </w:pPr>
      <w:r>
        <w:t xml:space="preserve">VRSN closed at</w:t>
      </w:r>
      <w:r>
        <w:t xml:space="preserve"> </w:t>
      </w:r>
      <m:oMath>
        <m:r>
          <m:t>262.63</m:t>
        </m:r>
        <m:r>
          <m:t>o</m:t>
        </m:r>
        <m:r>
          <m:t>n</m:t>
        </m:r>
        <m:r>
          <m:t>J</m:t>
        </m:r>
        <m:r>
          <m:t>u</m:t>
        </m:r>
        <m:r>
          <m:t>l</m:t>
        </m:r>
        <m:r>
          <m:t>y</m:t>
        </m:r>
        <m:r>
          <m:t>22</m:t>
        </m:r>
        <m:r>
          <m:rPr>
            <m:sty m:val="p"/>
          </m:rPr>
          <m:t>*</m:t>
        </m:r>
        <m:r>
          <m:rPr>
            <m:sty m:val="p"/>
          </m:rPr>
          <m:t>*</m:t>
        </m:r>
        <m:r>
          <m:rPr>
            <m:sty m:val="p"/>
          </m:rPr>
          <m:t>,</m:t>
        </m:r>
        <m:r>
          <m:t>d</m:t>
        </m:r>
        <m:r>
          <m:t>o</m:t>
        </m:r>
        <m:r>
          <m:t>w</m:t>
        </m:r>
        <m:r>
          <m:t>n</m:t>
        </m:r>
        <m:r>
          <m:t>a</m:t>
        </m:r>
        <m:r>
          <m:t>b</m:t>
        </m:r>
        <m:r>
          <m:t>o</m:t>
        </m:r>
        <m:r>
          <m:t>u</m:t>
        </m:r>
        <m:r>
          <m:t>t</m:t>
        </m:r>
        <m:r>
          <m:rPr>
            <m:sty m:val="p"/>
          </m:rPr>
          <m:t>*</m:t>
        </m:r>
        <m:r>
          <m:rPr>
            <m:sty m:val="p"/>
          </m:rPr>
          <m:t>*</m:t>
        </m:r>
        <m:r>
          <m:t>5</m:t>
        </m:r>
      </m:oMath>
      <w:r>
        <w:rPr>
          <w:b/>
          <w:bCs/>
        </w:rPr>
        <w:t xml:space="preserve">276.95</w:t>
      </w:r>
      <w:r>
        <w:t xml:space="preserve"> </w:t>
      </w:r>
      <w:r>
        <w:t xml:space="preserve">close on April 23, the day Q1 earnings were released. The shares peaked at</w:t>
      </w:r>
      <w:r>
        <w:t xml:space="preserve"> </w:t>
      </w:r>
      <w:r>
        <w:rPr>
          <w:b/>
          <w:bCs/>
        </w:rPr>
        <w:t xml:space="preserve">$310.00 on May 22</w:t>
      </w:r>
      <w:r>
        <w:t xml:space="preserve"> </w:t>
      </w:r>
      <w:r>
        <w:t xml:space="preserve">and have since fallen roughly</w:t>
      </w:r>
      <w:r>
        <w:t xml:space="preserve"> </w:t>
      </w:r>
      <w:r>
        <w:rPr>
          <w:b/>
          <w:bCs/>
        </w:rPr>
        <w:t xml:space="preserve">15%</w:t>
      </w:r>
      <w:r>
        <w:t xml:space="preserve"> </w:t>
      </w:r>
      <w:r>
        <w:t xml:space="preserve">from that high.</w:t>
      </w:r>
    </w:p>
    <w:p>
      <w:pPr>
        <w:pStyle w:val="BodyText"/>
      </w:pPr>
      <w:r>
        <w:t xml:space="preserve">That pullback suggests the market may be looking for confirmation that Q1’s domain-demand strength is sustainable, rather than simply pricing the November price increase. The near-term setup therefore appears more sensitive to operational KPIs and guidance than to a modest EPS variance.</w:t>
      </w:r>
    </w:p>
    <w:bookmarkEnd w:id="16"/>
    <w:bookmarkStart w:id="17" w:name="bull-case-for-the-call"/>
    <w:p>
      <w:pPr>
        <w:pStyle w:val="Heading2"/>
      </w:pPr>
      <w:r>
        <w:t xml:space="preserve">Bull case for the call</w:t>
      </w:r>
    </w:p>
    <w:p>
      <w:pPr>
        <w:pStyle w:val="FirstParagraph"/>
      </w:pPr>
      <w:r>
        <w:t xml:space="preserve">A constructive outcome would include:</w:t>
      </w:r>
    </w:p>
    <w:p>
      <w:pPr>
        <w:pStyle w:val="Compact"/>
        <w:numPr>
          <w:ilvl w:val="0"/>
          <w:numId w:val="1004"/>
        </w:numPr>
      </w:pPr>
      <w:r>
        <w:rPr>
          <w:b/>
          <w:bCs/>
        </w:rPr>
        <w:t xml:space="preserve">Solid domain net adds</w:t>
      </w:r>
      <w:r>
        <w:t xml:space="preserve">, even if below Q1’s unusually strong 2.54 million;</w:t>
      </w:r>
    </w:p>
    <w:p>
      <w:pPr>
        <w:pStyle w:val="Compact"/>
        <w:numPr>
          <w:ilvl w:val="0"/>
          <w:numId w:val="1004"/>
        </w:numPr>
      </w:pPr>
      <w:r>
        <w:t xml:space="preserve">New registrations that remain convincingly above Q2 2025’s 10.4 million;</w:t>
      </w:r>
    </w:p>
    <w:p>
      <w:pPr>
        <w:pStyle w:val="Compact"/>
        <w:numPr>
          <w:ilvl w:val="0"/>
          <w:numId w:val="1004"/>
        </w:numPr>
      </w:pPr>
      <w:r>
        <w:t xml:space="preserve">Stable renewal expectations and no evidence that promotional activity is degrading customer quality;</w:t>
      </w:r>
    </w:p>
    <w:p>
      <w:pPr>
        <w:pStyle w:val="Compact"/>
        <w:numPr>
          <w:ilvl w:val="0"/>
          <w:numId w:val="1004"/>
        </w:numPr>
      </w:pPr>
      <w:r>
        <w:t xml:space="preserve">Reaffirmed or raised 2026 guidance;</w:t>
      </w:r>
    </w:p>
    <w:p>
      <w:pPr>
        <w:pStyle w:val="Compact"/>
        <w:numPr>
          <w:ilvl w:val="0"/>
          <w:numId w:val="1004"/>
        </w:numPr>
      </w:pPr>
      <w:r>
        <w:t xml:space="preserve">Continued strong operating margins and free-cash-flow conversion;</w:t>
      </w:r>
    </w:p>
    <w:p>
      <w:pPr>
        <w:pStyle w:val="Compact"/>
        <w:numPr>
          <w:ilvl w:val="0"/>
          <w:numId w:val="1004"/>
        </w:numPr>
      </w:pPr>
      <w:r>
        <w:t xml:space="preserve">Confirmation that the debt refinancing is clean and does not meaningfully constrain capital returns;</w:t>
      </w:r>
    </w:p>
    <w:p>
      <w:pPr>
        <w:pStyle w:val="Compact"/>
        <w:numPr>
          <w:ilvl w:val="0"/>
          <w:numId w:val="1004"/>
        </w:numPr>
      </w:pPr>
      <w:r>
        <w:t xml:space="preserve">More concrete detail on management’s potential high-assurance infrastructure or security-service initiatives.</w:t>
      </w:r>
    </w:p>
    <w:bookmarkEnd w:id="17"/>
    <w:bookmarkStart w:id="18" w:name="bear-case-for-the-call"/>
    <w:p>
      <w:pPr>
        <w:pStyle w:val="Heading2"/>
      </w:pPr>
      <w:r>
        <w:t xml:space="preserve">Bear case for the call</w:t>
      </w:r>
    </w:p>
    <w:p>
      <w:pPr>
        <w:pStyle w:val="FirstParagraph"/>
      </w:pPr>
      <w:r>
        <w:t xml:space="preserve">The main risks are operational rather than cyclical:</w:t>
      </w:r>
    </w:p>
    <w:p>
      <w:pPr>
        <w:pStyle w:val="Compact"/>
        <w:numPr>
          <w:ilvl w:val="0"/>
          <w:numId w:val="1005"/>
        </w:numPr>
      </w:pPr>
      <w:r>
        <w:t xml:space="preserve">A sharp deceleration in net adds following Q1;</w:t>
      </w:r>
    </w:p>
    <w:p>
      <w:pPr>
        <w:pStyle w:val="Compact"/>
        <w:numPr>
          <w:ilvl w:val="0"/>
          <w:numId w:val="1005"/>
        </w:numPr>
      </w:pPr>
      <w:r>
        <w:t xml:space="preserve">New registrations supported by promotions but paired with weaker expected retention;</w:t>
      </w:r>
    </w:p>
    <w:p>
      <w:pPr>
        <w:pStyle w:val="Compact"/>
        <w:numPr>
          <w:ilvl w:val="0"/>
          <w:numId w:val="1005"/>
        </w:numPr>
      </w:pPr>
      <w:r>
        <w:t xml:space="preserve">More caution around the second-half first-time-renewal cohort;</w:t>
      </w:r>
    </w:p>
    <w:p>
      <w:pPr>
        <w:pStyle w:val="Compact"/>
        <w:numPr>
          <w:ilvl w:val="0"/>
          <w:numId w:val="1005"/>
        </w:numPr>
      </w:pPr>
      <w:r>
        <w:t xml:space="preserve">Indications that retail registrars may pass through the November .com price increase aggressively, hurting demand or renewal rates;</w:t>
      </w:r>
    </w:p>
    <w:p>
      <w:pPr>
        <w:pStyle w:val="Compact"/>
        <w:numPr>
          <w:ilvl w:val="0"/>
          <w:numId w:val="1005"/>
        </w:numPr>
      </w:pPr>
      <w:r>
        <w:t xml:space="preserve">A guidance cut or a failure to explain why strong Q1 trends are not translating into higher full-year expectations;</w:t>
      </w:r>
    </w:p>
    <w:p>
      <w:pPr>
        <w:pStyle w:val="Compact"/>
        <w:numPr>
          <w:ilvl w:val="0"/>
          <w:numId w:val="1005"/>
        </w:numPr>
      </w:pPr>
      <w:r>
        <w:t xml:space="preserve">Unexpected refinancing-related charges or a less favorable interest-expense outlook.</w:t>
      </w:r>
    </w:p>
    <w:bookmarkEnd w:id="18"/>
    <w:bookmarkStart w:id="20" w:name="bottom-line"/>
    <w:p>
      <w:pPr>
        <w:pStyle w:val="Heading2"/>
      </w:pPr>
      <w:r>
        <w:t xml:space="preserve">Bottom line</w:t>
      </w:r>
    </w:p>
    <w:p>
      <w:pPr>
        <w:pStyle w:val="FirstParagraph"/>
      </w:pPr>
      <w:r>
        <w:rPr>
          <w:b/>
          <w:bCs/>
        </w:rPr>
        <w:t xml:space="preserve">VRSN’s Q2 print is primarily a demand-validation event.</w:t>
      </w:r>
      <w:r>
        <w:t xml:space="preserve"> </w:t>
      </w:r>
      <w:r>
        <w:t xml:space="preserve">The company already has a visible 2027 pricing catalyst from the November .com increase; what investors need now is evidence that the 2026 acceleration in registrations, renewals, and net domain additions is durable.</w:t>
      </w:r>
    </w:p>
    <w:p>
      <w:pPr>
        <w:pStyle w:val="BodyText"/>
      </w:pPr>
      <w:r>
        <w:t xml:space="preserve">The single most important disclosure will be the</w:t>
      </w:r>
      <w:r>
        <w:t xml:space="preserve"> </w:t>
      </w:r>
      <w:r>
        <w:rPr>
          <w:b/>
          <w:bCs/>
        </w:rPr>
        <w:t xml:space="preserve">quarter-end .com/.net base and quarterly net adds</w:t>
      </w:r>
      <w:r>
        <w:t xml:space="preserve">, followed closely by management’s confidence in renewals and its full-year domain-growth outlook. If those indicators remain strong, Verisign can reinforce its rare combination of regulated pricing power, recurring revenue, high margins, and substantial shareholder returns.</w:t>
      </w:r>
    </w:p>
    <w:p>
      <w:r>
        <w:pict>
          <v:rect style="width:0;height:1.5pt" o:hralign="center" o:hrstd="t" o:hr="t"/>
        </w:pict>
      </w:r>
    </w:p>
    <w:bookmarkStart w:id="19" w:name="research-basis"/>
    <w:p>
      <w:pPr>
        <w:pStyle w:val="Heading3"/>
      </w:pPr>
      <w:r>
        <w:t xml:space="preserve">Research basis</w:t>
      </w:r>
    </w:p>
    <w:p>
      <w:pPr>
        <w:pStyle w:val="Compact"/>
        <w:numPr>
          <w:ilvl w:val="0"/>
          <w:numId w:val="1006"/>
        </w:numPr>
      </w:pPr>
      <w:r>
        <w:t xml:space="preserve">Verisign Q1 2026 earnings release and earnings-call transcript, April 23, 2026.</w:t>
      </w:r>
    </w:p>
    <w:p>
      <w:pPr>
        <w:pStyle w:val="Compact"/>
        <w:numPr>
          <w:ilvl w:val="0"/>
          <w:numId w:val="1006"/>
        </w:numPr>
      </w:pPr>
      <w:r>
        <w:t xml:space="preserve">Verisign Q1 2026 Form 10-Q, filed April 23, 2026.</w:t>
      </w:r>
    </w:p>
    <w:p>
      <w:pPr>
        <w:pStyle w:val="Compact"/>
        <w:numPr>
          <w:ilvl w:val="0"/>
          <w:numId w:val="1006"/>
        </w:numPr>
      </w:pPr>
      <w:r>
        <w:t xml:space="preserve">Verisign Q2 2025 earnings release, July 24, 2025.</w:t>
      </w:r>
    </w:p>
    <w:p>
      <w:pPr>
        <w:pStyle w:val="Compact"/>
        <w:numPr>
          <w:ilvl w:val="0"/>
          <w:numId w:val="1006"/>
        </w:numPr>
      </w:pPr>
      <w:r>
        <w:t xml:space="preserve">Verisign Form 8-Ks regarding the June 2026 $550 million senior-notes issuance and planned redemption of 2027 notes.</w:t>
      </w:r>
    </w:p>
    <w:p>
      <w:pPr>
        <w:pStyle w:val="Compact"/>
        <w:numPr>
          <w:ilvl w:val="0"/>
          <w:numId w:val="1006"/>
        </w:numPr>
      </w:pPr>
      <w:r>
        <w:t xml:space="preserve">VRSN historical closing-price data through July 22, 2026.</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2026-07-23T00:59:49Z</dcterms:created>
  <dcterms:modified xsi:type="dcterms:W3CDTF">2026-07-23T00:59:49Z</dcterms:modified>
</cp:coreProperties>
</file>

<file path=docProps/custom.xml><?xml version="1.0" encoding="utf-8"?>
<Properties xmlns="http://schemas.openxmlformats.org/officeDocument/2006/custom-properties" xmlns:vt="http://schemas.openxmlformats.org/officeDocument/2006/docPropsVTypes"/>
</file>