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VeriSign, Inc. (VRSN) — Q2 2026 Earnings Preview</w:t>
      </w:r>
    </w:p>
    <w:p>
      <w:r>
        <w:rPr>
          <w:rFonts w:ascii="Calibri" w:hAnsi="Calibri"/>
          <w:b/>
          <w:color w:val="525866"/>
          <w:sz w:val="22"/>
        </w:rPr>
        <w:t xml:space="preserve">Ticker: </w:t>
      </w:r>
      <w:r>
        <w:rPr>
          <w:rFonts w:ascii="Calibri" w:hAnsi="Calibri"/>
          <w:color w:val="525866"/>
          <w:sz w:val="22"/>
        </w:rPr>
        <w:t xml:space="preserve">VRSN  </w:t>
      </w:r>
      <w:r>
        <w:rPr>
          <w:rFonts w:ascii="Calibri" w:hAnsi="Calibri"/>
          <w:b/>
          <w:color w:val="525866"/>
          <w:sz w:val="22"/>
        </w:rPr>
        <w:t xml:space="preserve">Earnings Date: </w:t>
      </w:r>
      <w:r>
        <w:rPr>
          <w:rFonts w:ascii="Calibri" w:hAnsi="Calibri"/>
          <w:color w:val="525866"/>
          <w:sz w:val="22"/>
        </w:rPr>
        <w:t xml:space="preserve">July 23, 2026 (after market close, 4:30 PM EDT)  </w:t>
      </w:r>
      <w:r>
        <w:rPr>
          <w:rFonts w:ascii="Calibri" w:hAnsi="Calibri"/>
          <w:b/>
          <w:color w:val="525866"/>
          <w:sz w:val="22"/>
        </w:rPr>
        <w:t xml:space="preserve">Prepared: </w:t>
      </w:r>
      <w:r>
        <w:rPr>
          <w:rFonts w:ascii="Calibri" w:hAnsi="Calibri"/>
          <w:color w:val="525866"/>
          <w:sz w:val="22"/>
        </w:rPr>
        <w:t>July 22, 2026</w:t>
      </w:r>
    </w:p>
    <w:p>
      <w:r>
        <w:rPr>
          <w:rFonts w:ascii="Calibri" w:hAnsi="Calibri"/>
          <w:b/>
          <w:color w:val="525866"/>
          <w:sz w:val="22"/>
        </w:rPr>
        <w:t xml:space="preserve">Note on Consensus Data: </w:t>
      </w:r>
      <w:r>
        <w:rPr>
          <w:rFonts w:ascii="Calibri" w:hAnsi="Calibri"/>
          <w:color w:val="525866"/>
          <w:sz w:val="22"/>
        </w:rPr>
        <w:t>Visible Alpha consensus estimates were unavailable for VRSN at the time of preparation. Beat/miss history consensus figures and estimate revision tables are therefore not populated with third-party consensus data. All financial figures cited are sourced from VeriSign earnings releases and transcripts.</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 the bar is achievable given Q1 2026 momentum and raised full-year guidance, with the single biggest swing factor being whether Q2 domain registrations and renewal rates sustain the record pace set in Q1.</w:t>
      </w:r>
    </w:p>
    <w:p>
      <w:r>
        <w:rPr>
          <w:rFonts w:ascii="Calibri" w:hAnsi="Calibri"/>
          <w:color w:val="525866"/>
          <w:sz w:val="22"/>
        </w:rPr>
        <w:t xml:space="preserve">Heading into the Q2 2026 print, VeriSign's setup is among the most straightforward in its recent history: management raised and narrowed full-year domain growth guidance to 3.1%–4.3% after Q1 (up sharply from the 1.5%–3.5% range issued just one quarter prior), signaling genuine confidence in the trajectory. </w:t>
      </w:r>
      <w:r>
        <w:rPr>
          <w:rFonts w:ascii="Calibri" w:hAnsi="Calibri"/>
          <w:b/>
          <w:color w:val="525866"/>
          <w:sz w:val="22"/>
        </w:rPr>
        <w:t>The bar for Q2 is not particularly elevated</w:t>
      </w:r>
      <w:r>
        <w:rPr>
          <w:rFonts w:ascii="Calibri" w:hAnsi="Calibri"/>
          <w:color w:val="525866"/>
          <w:sz w:val="22"/>
        </w:rPr>
        <w:t xml:space="preserve"> — consensus was unavailable, but the implied quarterly cadence from full-year guidance suggests mid-single-digit revenue growth year-over-year is the expectation, consistent with Q1's 6.6% print. Management's tone has shifted decisively from cautious to confident over the past four quarters, with AI-driven tailwinds, broad registrar engagement, and improving renewal rates all cited as durable drivers. Estimate trajectory is difficult to assess without live consensus data, but the guidance raise itself is the clearest signal that management sees the current-quarter run-rate as sustainable. The stock has underperformed IGV meaningfully since the Q1 print (VRSN roughly flat to slightly down vs. IGV up ~9%), suggesting the market has not fully priced in the fundamental improvement — a potential setup for a positive re-rating on a clean beat. The primary wildcard is whether the November 2026 .com price increase announcement has caused any pull-forward or hesitation in registrar ordering behavior during Q2, which could distort the underlying demand signal.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Domain name base growth and new registrations are the two metrics that will determine whether Q2 is viewed as a beat or miss. Revenue and EPS are largely derivative of domain volume. Consensus estimates were unavailable from Visible Alpha; figures below reflect reported actuals and management guidance only.</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 (Prior Year)</w:t>
            </w:r>
          </w:p>
        </w:tc>
        <w:tc>
          <w:tcPr>
            <w:tcW w:type="dxa" w:w="1440"/>
            <w:shd w:val="clear" w:color="auto" w:fill="3B4259"/>
          </w:tcPr>
          <w:p>
            <w:r>
              <w:rPr>
                <w:rFonts w:ascii="Calibri" w:hAnsi="Calibri"/>
                <w:b/>
                <w:color w:val="FFFFFF"/>
                <w:sz w:val="22"/>
              </w:rPr>
              <w:t>Consensus Estimate</w:t>
            </w:r>
          </w:p>
        </w:tc>
        <w:tc>
          <w:tcPr>
            <w:tcW w:type="dxa" w:w="1440"/>
            <w:shd w:val="clear" w:color="auto" w:fill="3B4259"/>
          </w:tcPr>
          <w:p>
            <w:r>
              <w:rPr>
                <w:rFonts w:ascii="Calibri" w:hAnsi="Calibri"/>
                <w:b/>
                <w:color w:val="FFFFFF"/>
                <w:sz w:val="22"/>
              </w:rPr>
              <w:t>YoY Change (Q1 2026 vs Q1 2025)</w:t>
            </w:r>
          </w:p>
        </w:tc>
        <w:tc>
          <w:tcPr>
            <w:tcW w:type="dxa" w:w="1440"/>
            <w:shd w:val="clear" w:color="auto" w:fill="3B4259"/>
          </w:tcPr>
          <w:p>
            <w:r>
              <w:rPr>
                <w:rFonts w:ascii="Calibri" w:hAnsi="Calibri"/>
                <w:b/>
                <w:color w:val="FFFFFF"/>
                <w:sz w:val="22"/>
              </w:rPr>
              <w:t>FY 2026 Guidance</w:t>
            </w:r>
          </w:p>
        </w:tc>
      </w:tr>
      <w:tr>
        <w:tc>
          <w:tcPr>
            <w:tcW w:type="dxa" w:w="1440"/>
          </w:tcPr>
          <w:p>
            <w:r>
              <w:rPr>
                <w:rFonts w:ascii="Calibri" w:hAnsi="Calibri"/>
                <w:sz w:val="22"/>
              </w:rPr>
              <w:t>Revenue</w:t>
            </w:r>
          </w:p>
        </w:tc>
        <w:tc>
          <w:tcPr>
            <w:tcW w:type="dxa" w:w="1440"/>
          </w:tcPr>
          <w:p>
            <w:r>
              <w:rPr>
                <w:rFonts w:ascii="Calibri" w:hAnsi="Calibri"/>
                <w:sz w:val="22"/>
              </w:rPr>
              <w:t>$429M</w:t>
            </w:r>
          </w:p>
        </w:tc>
        <w:tc>
          <w:tcPr>
            <w:tcW w:type="dxa" w:w="1440"/>
          </w:tcPr>
          <w:p>
            <w:r>
              <w:rPr>
                <w:rFonts w:ascii="Calibri" w:hAnsi="Calibri"/>
                <w:sz w:val="22"/>
              </w:rPr>
              <w:t>$410M</w:t>
            </w:r>
          </w:p>
        </w:tc>
        <w:tc>
          <w:tcPr>
            <w:tcW w:type="dxa" w:w="1440"/>
          </w:tcPr>
          <w:p>
            <w:r>
              <w:rPr>
                <w:rFonts w:ascii="Calibri" w:hAnsi="Calibri"/>
                <w:sz w:val="22"/>
              </w:rPr>
              <w:t>N/A — not in VA</w:t>
            </w:r>
          </w:p>
        </w:tc>
        <w:tc>
          <w:tcPr>
            <w:tcW w:type="dxa" w:w="1440"/>
          </w:tcPr>
          <w:p>
            <w:r>
              <w:rPr>
                <w:rFonts w:ascii="Calibri" w:hAnsi="Calibri"/>
                <w:sz w:val="22"/>
              </w:rPr>
              <w:t>+6.6%</w:t>
            </w:r>
          </w:p>
        </w:tc>
        <w:tc>
          <w:tcPr>
            <w:tcW w:type="dxa" w:w="1440"/>
          </w:tcPr>
          <w:p>
            <w:r>
              <w:rPr>
                <w:rFonts w:ascii="Calibri" w:hAnsi="Calibri"/>
                <w:sz w:val="22"/>
              </w:rPr>
              <w:t>$1.730B–$1.745B</w:t>
            </w:r>
          </w:p>
        </w:tc>
      </w:tr>
      <w:tr>
        <w:tc>
          <w:tcPr>
            <w:tcW w:type="dxa" w:w="1440"/>
          </w:tcPr>
          <w:p>
            <w:r>
              <w:rPr>
                <w:rFonts w:ascii="Calibri" w:hAnsi="Calibri"/>
                <w:sz w:val="22"/>
              </w:rPr>
              <w:t>Diluted EPS</w:t>
            </w:r>
          </w:p>
        </w:tc>
        <w:tc>
          <w:tcPr>
            <w:tcW w:type="dxa" w:w="1440"/>
          </w:tcPr>
          <w:p>
            <w:r>
              <w:rPr>
                <w:rFonts w:ascii="Calibri" w:hAnsi="Calibri"/>
                <w:sz w:val="22"/>
              </w:rPr>
              <w:t>$2.34</w:t>
            </w:r>
          </w:p>
        </w:tc>
        <w:tc>
          <w:tcPr>
            <w:tcW w:type="dxa" w:w="1440"/>
          </w:tcPr>
          <w:p>
            <w:r>
              <w:rPr>
                <w:rFonts w:ascii="Calibri" w:hAnsi="Calibri"/>
                <w:sz w:val="22"/>
              </w:rPr>
              <w:t>$2.21</w:t>
            </w:r>
          </w:p>
        </w:tc>
        <w:tc>
          <w:tcPr>
            <w:tcW w:type="dxa" w:w="1440"/>
          </w:tcPr>
          <w:p>
            <w:r>
              <w:rPr>
                <w:rFonts w:ascii="Calibri" w:hAnsi="Calibri"/>
                <w:sz w:val="22"/>
              </w:rPr>
              <w:t>N/A — not in VA</w:t>
            </w:r>
          </w:p>
        </w:tc>
        <w:tc>
          <w:tcPr>
            <w:tcW w:type="dxa" w:w="1440"/>
          </w:tcPr>
          <w:p>
            <w:r>
              <w:rPr>
                <w:rFonts w:ascii="Calibri" w:hAnsi="Calibri"/>
                <w:sz w:val="22"/>
              </w:rPr>
              <w:t>+11.4%</w:t>
            </w:r>
          </w:p>
        </w:tc>
        <w:tc>
          <w:tcPr>
            <w:tcW w:type="dxa" w:w="1440"/>
          </w:tcPr>
          <w:p>
            <w:r>
              <w:rPr>
                <w:rFonts w:ascii="Calibri" w:hAnsi="Calibri"/>
                <w:sz w:val="22"/>
              </w:rPr>
              <w:t>Implied by op. income guidance</w:t>
            </w:r>
          </w:p>
        </w:tc>
      </w:tr>
      <w:tr>
        <w:tc>
          <w:tcPr>
            <w:tcW w:type="dxa" w:w="1440"/>
          </w:tcPr>
          <w:p>
            <w:r>
              <w:rPr>
                <w:rFonts w:ascii="Calibri" w:hAnsi="Calibri"/>
                <w:sz w:val="22"/>
              </w:rPr>
              <w:t>Operating Income</w:t>
            </w:r>
          </w:p>
        </w:tc>
        <w:tc>
          <w:tcPr>
            <w:tcW w:type="dxa" w:w="1440"/>
          </w:tcPr>
          <w:p>
            <w:r>
              <w:rPr>
                <w:rFonts w:ascii="Calibri" w:hAnsi="Calibri"/>
                <w:sz w:val="22"/>
              </w:rPr>
              <w:t>$294M</w:t>
            </w:r>
          </w:p>
        </w:tc>
        <w:tc>
          <w:tcPr>
            <w:tcW w:type="dxa" w:w="1440"/>
          </w:tcPr>
          <w:p>
            <w:r>
              <w:rPr>
                <w:rFonts w:ascii="Calibri" w:hAnsi="Calibri"/>
                <w:sz w:val="22"/>
              </w:rPr>
              <w:t>~$278M (est.)</w:t>
            </w:r>
          </w:p>
        </w:tc>
        <w:tc>
          <w:tcPr>
            <w:tcW w:type="dxa" w:w="1440"/>
          </w:tcPr>
          <w:p>
            <w:r>
              <w:rPr>
                <w:rFonts w:ascii="Calibri" w:hAnsi="Calibri"/>
                <w:sz w:val="22"/>
              </w:rPr>
              <w:t>N/A — not in VA</w:t>
            </w:r>
          </w:p>
        </w:tc>
        <w:tc>
          <w:tcPr>
            <w:tcW w:type="dxa" w:w="1440"/>
          </w:tcPr>
          <w:p>
            <w:r>
              <w:rPr>
                <w:rFonts w:ascii="Calibri" w:hAnsi="Calibri"/>
                <w:sz w:val="22"/>
              </w:rPr>
              <w:t>+8.3%</w:t>
            </w:r>
          </w:p>
        </w:tc>
        <w:tc>
          <w:tcPr>
            <w:tcW w:type="dxa" w:w="1440"/>
          </w:tcPr>
          <w:p>
            <w:r>
              <w:rPr>
                <w:rFonts w:ascii="Calibri" w:hAnsi="Calibri"/>
                <w:sz w:val="22"/>
              </w:rPr>
              <w:t>$1.170B–$1.185B</w:t>
            </w:r>
          </w:p>
        </w:tc>
      </w:tr>
      <w:tr>
        <w:tc>
          <w:tcPr>
            <w:tcW w:type="dxa" w:w="1440"/>
          </w:tcPr>
          <w:p>
            <w:r>
              <w:rPr>
                <w:rFonts w:ascii="Calibri" w:hAnsi="Calibri"/>
                <w:sz w:val="22"/>
              </w:rPr>
              <w:t>Operating Margin</w:t>
            </w:r>
          </w:p>
        </w:tc>
        <w:tc>
          <w:tcPr>
            <w:tcW w:type="dxa" w:w="1440"/>
          </w:tcPr>
          <w:p>
            <w:r>
              <w:rPr>
                <w:rFonts w:ascii="Calibri" w:hAnsi="Calibri"/>
                <w:sz w:val="22"/>
              </w:rPr>
              <w:t>~68.5%</w:t>
            </w:r>
          </w:p>
        </w:tc>
        <w:tc>
          <w:tcPr>
            <w:tcW w:type="dxa" w:w="1440"/>
          </w:tcPr>
          <w:p>
            <w:r>
              <w:rPr>
                <w:rFonts w:ascii="Calibri" w:hAnsi="Calibri"/>
                <w:sz w:val="22"/>
              </w:rPr>
              <w:t>~67.8%</w:t>
            </w:r>
          </w:p>
        </w:tc>
        <w:tc>
          <w:tcPr>
            <w:tcW w:type="dxa" w:w="1440"/>
          </w:tcPr>
          <w:p>
            <w:r>
              <w:rPr>
                <w:rFonts w:ascii="Calibri" w:hAnsi="Calibri"/>
                <w:sz w:val="22"/>
              </w:rPr>
              <w:t>N/A — not in VA</w:t>
            </w:r>
          </w:p>
        </w:tc>
        <w:tc>
          <w:tcPr>
            <w:tcW w:type="dxa" w:w="1440"/>
          </w:tcPr>
          <w:p>
            <w:r>
              <w:rPr>
                <w:rFonts w:ascii="Calibri" w:hAnsi="Calibri"/>
                <w:sz w:val="22"/>
              </w:rPr>
              <w:t>+~70 bps</w:t>
            </w:r>
          </w:p>
        </w:tc>
        <w:tc>
          <w:tcPr>
            <w:tcW w:type="dxa" w:w="1440"/>
          </w:tcPr>
          <w:p>
            <w:r>
              <w:rPr>
                <w:rFonts w:ascii="Calibri" w:hAnsi="Calibri"/>
                <w:sz w:val="22"/>
              </w:rPr>
              <w:t>~67.6%–67.9% (midpoint)</w:t>
            </w:r>
          </w:p>
        </w:tc>
      </w:tr>
      <w:tr>
        <w:tc>
          <w:tcPr>
            <w:tcW w:type="dxa" w:w="1440"/>
          </w:tcPr>
          <w:p>
            <w:r>
              <w:rPr>
                <w:rFonts w:ascii="Calibri" w:hAnsi="Calibri"/>
                <w:sz w:val="22"/>
              </w:rPr>
              <w:t>Domain Name Base (.com/.net)</w:t>
            </w:r>
          </w:p>
        </w:tc>
        <w:tc>
          <w:tcPr>
            <w:tcW w:type="dxa" w:w="1440"/>
          </w:tcPr>
          <w:p>
            <w:r>
              <w:rPr>
                <w:rFonts w:ascii="Calibri" w:hAnsi="Calibri"/>
                <w:sz w:val="22"/>
              </w:rPr>
              <w:t>176.1M (record)</w:t>
            </w:r>
          </w:p>
        </w:tc>
        <w:tc>
          <w:tcPr>
            <w:tcW w:type="dxa" w:w="1440"/>
          </w:tcPr>
          <w:p>
            <w:r>
              <w:rPr>
                <w:rFonts w:ascii="Calibri" w:hAnsi="Calibri"/>
                <w:sz w:val="22"/>
              </w:rPr>
              <w:t>170.5M</w:t>
            </w:r>
          </w:p>
        </w:tc>
        <w:tc>
          <w:tcPr>
            <w:tcW w:type="dxa" w:w="1440"/>
          </w:tcPr>
          <w:p>
            <w:r>
              <w:rPr>
                <w:rFonts w:ascii="Calibri" w:hAnsi="Calibri"/>
                <w:sz w:val="22"/>
              </w:rPr>
              <w:t>N/A — not in VA</w:t>
            </w:r>
          </w:p>
        </w:tc>
        <w:tc>
          <w:tcPr>
            <w:tcW w:type="dxa" w:w="1440"/>
          </w:tcPr>
          <w:p>
            <w:r>
              <w:rPr>
                <w:rFonts w:ascii="Calibri" w:hAnsi="Calibri"/>
                <w:sz w:val="22"/>
              </w:rPr>
              <w:t>+3.3%</w:t>
            </w:r>
          </w:p>
        </w:tc>
        <w:tc>
          <w:tcPr>
            <w:tcW w:type="dxa" w:w="1440"/>
          </w:tcPr>
          <w:p>
            <w:r>
              <w:rPr>
                <w:rFonts w:ascii="Calibri" w:hAnsi="Calibri"/>
                <w:sz w:val="22"/>
              </w:rPr>
              <w:t>+3.1%–+4.3% growth</w:t>
            </w:r>
          </w:p>
        </w:tc>
      </w:tr>
      <w:tr>
        <w:tc>
          <w:tcPr>
            <w:tcW w:type="dxa" w:w="1440"/>
          </w:tcPr>
          <w:p>
            <w:r>
              <w:rPr>
                <w:rFonts w:ascii="Calibri" w:hAnsi="Calibri"/>
                <w:sz w:val="22"/>
              </w:rPr>
              <w:t>New Registrations</w:t>
            </w:r>
          </w:p>
        </w:tc>
        <w:tc>
          <w:tcPr>
            <w:tcW w:type="dxa" w:w="1440"/>
          </w:tcPr>
          <w:p>
            <w:r>
              <w:rPr>
                <w:rFonts w:ascii="Calibri" w:hAnsi="Calibri"/>
                <w:sz w:val="22"/>
              </w:rPr>
              <w:t>11.5M</w:t>
            </w:r>
          </w:p>
        </w:tc>
        <w:tc>
          <w:tcPr>
            <w:tcW w:type="dxa" w:w="1440"/>
          </w:tcPr>
          <w:p>
            <w:r>
              <w:rPr>
                <w:rFonts w:ascii="Calibri" w:hAnsi="Calibri"/>
                <w:sz w:val="22"/>
              </w:rPr>
              <w:t>10.4M</w:t>
            </w:r>
          </w:p>
        </w:tc>
        <w:tc>
          <w:tcPr>
            <w:tcW w:type="dxa" w:w="1440"/>
          </w:tcPr>
          <w:p>
            <w:r>
              <w:rPr>
                <w:rFonts w:ascii="Calibri" w:hAnsi="Calibri"/>
                <w:sz w:val="22"/>
              </w:rPr>
              <w:t>N/A — not in VA</w:t>
            </w:r>
          </w:p>
        </w:tc>
        <w:tc>
          <w:tcPr>
            <w:tcW w:type="dxa" w:w="1440"/>
          </w:tcPr>
          <w:p>
            <w:r>
              <w:rPr>
                <w:rFonts w:ascii="Calibri" w:hAnsi="Calibri"/>
                <w:sz w:val="22"/>
              </w:rPr>
              <w:t>+13.9%</w:t>
            </w:r>
          </w:p>
        </w:tc>
        <w:tc>
          <w:tcPr>
            <w:tcW w:type="dxa" w:w="1440"/>
          </w:tcPr>
          <w:p>
            <w:r>
              <w:rPr>
                <w:rFonts w:ascii="Calibri" w:hAnsi="Calibri"/>
                <w:sz w:val="22"/>
              </w:rPr>
              <w:t>No quarterly guidance</w:t>
            </w:r>
          </w:p>
        </w:tc>
      </w:tr>
      <w:tr>
        <w:tc>
          <w:tcPr>
            <w:tcW w:type="dxa" w:w="1440"/>
          </w:tcPr>
          <w:p>
            <w:r>
              <w:rPr>
                <w:rFonts w:ascii="Calibri" w:hAnsi="Calibri"/>
                <w:sz w:val="22"/>
              </w:rPr>
              <w:t>Renewal Rate (preliminary)</w:t>
            </w:r>
          </w:p>
        </w:tc>
        <w:tc>
          <w:tcPr>
            <w:tcW w:type="dxa" w:w="1440"/>
          </w:tcPr>
          <w:p>
            <w:r>
              <w:rPr>
                <w:rFonts w:ascii="Calibri" w:hAnsi="Calibri"/>
                <w:sz w:val="22"/>
              </w:rPr>
              <w:t>76.3% (Q1 2026 prelim.)</w:t>
            </w:r>
          </w:p>
        </w:tc>
        <w:tc>
          <w:tcPr>
            <w:tcW w:type="dxa" w:w="1440"/>
          </w:tcPr>
          <w:p>
            <w:r>
              <w:rPr>
                <w:rFonts w:ascii="Calibri" w:hAnsi="Calibri"/>
                <w:sz w:val="22"/>
              </w:rPr>
              <w:t>75.5%</w:t>
            </w:r>
          </w:p>
        </w:tc>
        <w:tc>
          <w:tcPr>
            <w:tcW w:type="dxa" w:w="1440"/>
          </w:tcPr>
          <w:p>
            <w:r>
              <w:rPr>
                <w:rFonts w:ascii="Calibri" w:hAnsi="Calibri"/>
                <w:sz w:val="22"/>
              </w:rPr>
              <w:t>N/A — not in VA</w:t>
            </w:r>
          </w:p>
        </w:tc>
        <w:tc>
          <w:tcPr>
            <w:tcW w:type="dxa" w:w="1440"/>
          </w:tcPr>
          <w:p>
            <w:r>
              <w:rPr>
                <w:rFonts w:ascii="Calibri" w:hAnsi="Calibri"/>
                <w:sz w:val="22"/>
              </w:rPr>
              <w:t>+80 bps YoY</w:t>
            </w:r>
          </w:p>
        </w:tc>
        <w:tc>
          <w:tcPr>
            <w:tcW w:type="dxa" w:w="1440"/>
          </w:tcPr>
          <w:p>
            <w:r>
              <w:rPr>
                <w:rFonts w:ascii="Calibri" w:hAnsi="Calibri"/>
                <w:sz w:val="22"/>
              </w:rPr>
              <w:t>No quarterly guidance</w:t>
            </w:r>
          </w:p>
        </w:tc>
      </w:tr>
      <w:tr>
        <w:tc>
          <w:tcPr>
            <w:tcW w:type="dxa" w:w="1440"/>
          </w:tcPr>
          <w:p>
            <w:r>
              <w:rPr>
                <w:rFonts w:ascii="Calibri" w:hAnsi="Calibri"/>
                <w:sz w:val="22"/>
              </w:rPr>
              <w:t>Free Cash Flow</w:t>
            </w:r>
          </w:p>
        </w:tc>
        <w:tc>
          <w:tcPr>
            <w:tcW w:type="dxa" w:w="1440"/>
          </w:tcPr>
          <w:p>
            <w:r>
              <w:rPr>
                <w:rFonts w:ascii="Calibri" w:hAnsi="Calibri"/>
                <w:sz w:val="22"/>
              </w:rPr>
              <w:t>$265M</w:t>
            </w:r>
          </w:p>
        </w:tc>
        <w:tc>
          <w:tcPr>
            <w:tcW w:type="dxa" w:w="1440"/>
          </w:tcPr>
          <w:p>
            <w:r>
              <w:rPr>
                <w:rFonts w:ascii="Calibri" w:hAnsi="Calibri"/>
                <w:sz w:val="22"/>
              </w:rPr>
              <w:t>~$270M</w:t>
            </w:r>
          </w:p>
        </w:tc>
        <w:tc>
          <w:tcPr>
            <w:tcW w:type="dxa" w:w="1440"/>
          </w:tcPr>
          <w:p>
            <w:r>
              <w:rPr>
                <w:rFonts w:ascii="Calibri" w:hAnsi="Calibri"/>
                <w:sz w:val="22"/>
              </w:rPr>
              <w:t>N/A — not in VA</w:t>
            </w:r>
          </w:p>
        </w:tc>
        <w:tc>
          <w:tcPr>
            <w:tcW w:type="dxa" w:w="1440"/>
          </w:tcPr>
          <w:p>
            <w:r>
              <w:rPr>
                <w:rFonts w:ascii="Calibri" w:hAnsi="Calibri"/>
                <w:sz w:val="22"/>
              </w:rPr>
              <w:t>-1.9% (Q1 2026 vs Q1 2025)</w:t>
            </w:r>
          </w:p>
        </w:tc>
        <w:tc>
          <w:tcPr>
            <w:tcW w:type="dxa" w:w="1440"/>
          </w:tcPr>
          <w:p>
            <w:r>
              <w:rPr>
                <w:rFonts w:ascii="Calibri" w:hAnsi="Calibri"/>
                <w:sz w:val="22"/>
              </w:rPr>
              <w:t>No explicit FCF guidance</w:t>
            </w:r>
          </w:p>
        </w:tc>
      </w:tr>
    </w:tbl>
    <w:p>
      <w:r>
        <w:rPr>
          <w:rFonts w:ascii="Calibri" w:hAnsi="Calibri"/>
          <w:b/>
          <w:color w:val="525866"/>
          <w:sz w:val="22"/>
        </w:rPr>
        <w:t xml:space="preserve">Sources: </w:t>
      </w:r>
      <w:r>
        <w:rPr>
          <w:rFonts w:ascii="Calibri" w:hAnsi="Calibri"/>
          <w:color w:val="525866"/>
          <w:sz w:val="22"/>
        </w:rPr>
        <w:t>VeriSign Q1 2026 Earnings Release (April 23, 2026); VeriSign Q1 2026 Earnings Call Transcript (April 23, 2026); VeriSign Q2 2025 Earnings Call Transcript (July 24, 2025). Consensus estimates marked N/A — Visible Alpha data was unavailable for VRSN at time of preparation.</w:t>
      </w:r>
    </w:p>
    <w:p>
      <w:pPr>
        <w:pStyle w:val="Heading3"/>
      </w:pPr>
      <w:r>
        <w:rPr>
          <w:rFonts w:ascii="Calibri" w:hAnsi="Calibri"/>
          <w:b/>
          <w:color w:val="3B4259"/>
          <w:sz w:val="24"/>
        </w:rPr>
        <w:t>Table 2 — Beat/Miss History (Last 8 Quarters, Top 2 KPIs: Revenue &amp; Domain Name Base)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$429M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Beat (per company summary)</w:t>
            </w:r>
          </w:p>
        </w:tc>
      </w:tr>
      <w:tr>
        <w:tc>
          <w:tcPr>
            <w:tcW w:type="dxa" w:w="1440"/>
          </w:tcPr>
          <w:p>
            <w:r>
              <w:rPr>
                <w:rFonts w:ascii="Calibri" w:hAnsi="Calibri"/>
                <w:sz w:val="22"/>
              </w:rPr>
              <w:t>Q1 2026</w:t>
            </w:r>
          </w:p>
        </w:tc>
        <w:tc>
          <w:tcPr>
            <w:tcW w:type="dxa" w:w="1440"/>
          </w:tcPr>
          <w:p>
            <w:r>
              <w:rPr>
                <w:rFonts w:ascii="Calibri" w:hAnsi="Calibri"/>
                <w:sz w:val="22"/>
              </w:rPr>
              <w:t>Domain Base</w:t>
            </w:r>
          </w:p>
        </w:tc>
        <w:tc>
          <w:tcPr>
            <w:tcW w:type="dxa" w:w="1440"/>
          </w:tcPr>
          <w:p>
            <w:r>
              <w:rPr>
                <w:rFonts w:ascii="Calibri" w:hAnsi="Calibri"/>
                <w:sz w:val="22"/>
              </w:rPr>
              <w:t>176.1M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Record high; beat expectations</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$425M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Q4 2025</w:t>
            </w:r>
          </w:p>
        </w:tc>
        <w:tc>
          <w:tcPr>
            <w:tcW w:type="dxa" w:w="1440"/>
          </w:tcPr>
          <w:p>
            <w:r>
              <w:rPr>
                <w:rFonts w:ascii="Calibri" w:hAnsi="Calibri"/>
                <w:sz w:val="22"/>
              </w:rPr>
              <w:t>Domain Base</w:t>
            </w:r>
          </w:p>
        </w:tc>
        <w:tc>
          <w:tcPr>
            <w:tcW w:type="dxa" w:w="1440"/>
          </w:tcPr>
          <w:p>
            <w:r>
              <w:rPr>
                <w:rFonts w:ascii="Calibri" w:hAnsi="Calibri"/>
                <w:sz w:val="22"/>
              </w:rPr>
              <w:t>173.5M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$419M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Q3 2025</w:t>
            </w:r>
          </w:p>
        </w:tc>
        <w:tc>
          <w:tcPr>
            <w:tcW w:type="dxa" w:w="1440"/>
          </w:tcPr>
          <w:p>
            <w:r>
              <w:rPr>
                <w:rFonts w:ascii="Calibri" w:hAnsi="Calibri"/>
                <w:sz w:val="22"/>
              </w:rPr>
              <w:t>Domain Base</w:t>
            </w:r>
          </w:p>
        </w:tc>
        <w:tc>
          <w:tcPr>
            <w:tcW w:type="dxa" w:w="1440"/>
          </w:tcPr>
          <w:p>
            <w:r>
              <w:rPr>
                <w:rFonts w:ascii="Calibri" w:hAnsi="Calibri"/>
                <w:sz w:val="22"/>
              </w:rPr>
              <w:t>171.9M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$410M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Q2 2025</w:t>
            </w:r>
          </w:p>
        </w:tc>
        <w:tc>
          <w:tcPr>
            <w:tcW w:type="dxa" w:w="1440"/>
          </w:tcPr>
          <w:p>
            <w:r>
              <w:rPr>
                <w:rFonts w:ascii="Calibri" w:hAnsi="Calibri"/>
                <w:sz w:val="22"/>
              </w:rPr>
              <w:t>Domain Base</w:t>
            </w:r>
          </w:p>
        </w:tc>
        <w:tc>
          <w:tcPr>
            <w:tcW w:type="dxa" w:w="1440"/>
          </w:tcPr>
          <w:p>
            <w:r>
              <w:rPr>
                <w:rFonts w:ascii="Calibri" w:hAnsi="Calibri"/>
                <w:sz w:val="22"/>
              </w:rPr>
              <w:t>170.5M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$402.3M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r>
        <w:tc>
          <w:tcPr>
            <w:tcW w:type="dxa" w:w="1440"/>
          </w:tcPr>
          <w:p>
            <w:r>
              <w:rPr>
                <w:rFonts w:ascii="Calibri" w:hAnsi="Calibri"/>
                <w:sz w:val="22"/>
              </w:rPr>
              <w:t>Q1 2025</w:t>
            </w:r>
          </w:p>
        </w:tc>
        <w:tc>
          <w:tcPr>
            <w:tcW w:type="dxa" w:w="1440"/>
          </w:tcPr>
          <w:p>
            <w:r>
              <w:rPr>
                <w:rFonts w:ascii="Calibri" w:hAnsi="Calibri"/>
                <w:sz w:val="22"/>
              </w:rPr>
              <w:t>Domain Base</w:t>
            </w:r>
          </w:p>
        </w:tc>
        <w:tc>
          <w:tcPr>
            <w:tcW w:type="dxa" w:w="1440"/>
          </w:tcPr>
          <w:p>
            <w:r>
              <w:rPr>
                <w:rFonts w:ascii="Calibri" w:hAnsi="Calibri"/>
                <w:sz w:val="22"/>
              </w:rPr>
              <w:t>~169.8M</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 — consensus unavailable</w:t>
            </w:r>
          </w:p>
        </w:tc>
      </w:tr>
    </w:tbl>
    <w:p>
      <w:r>
        <w:rPr>
          <w:rFonts w:ascii="Calibri" w:hAnsi="Calibri"/>
          <w:b/>
          <w:color w:val="525866"/>
          <w:sz w:val="22"/>
        </w:rPr>
        <w:t xml:space="preserve">Pattern: </w:t>
      </w:r>
      <w:r>
        <w:rPr>
          <w:rFonts w:ascii="Calibri" w:hAnsi="Calibri"/>
          <w:color w:val="525866"/>
          <w:sz w:val="22"/>
        </w:rPr>
        <w:t>Visible Alpha consensus data was unavailable for VRSN, so a formal beat/miss history cannot be constructed. However, the company summary notes that Q1 2026 was a beat on both EPS and revenue, and the trajectory of reported metrics (revenue accelerating from +5.9% in Q2 2025 to +7.5% in Q4 2025 to +6.6% in Q1 2026, domain base reaching record highs) suggests a consistent pattern of meeting or exceeding expectations.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raised and significantly narrowed full-year 2026 domain growth guidance after Q1 2026 — the new range of 3.1%–4.3% sits well above the 1.5%–3.5% range issued just one quarter prior. No post-earnings guidance revisions have been made since the April 23 call; the June 26 debt offering was a capital structure action, not a guidance update.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Call, Feb 5, 2026)</w:t>
            </w:r>
          </w:p>
        </w:tc>
        <w:tc>
          <w:tcPr>
            <w:tcW w:type="dxa" w:w="1728"/>
            <w:shd w:val="clear" w:color="auto" w:fill="3B4259"/>
          </w:tcPr>
          <w:p>
            <w:r>
              <w:rPr>
                <w:rFonts w:ascii="Calibri" w:hAnsi="Calibri"/>
                <w:b/>
                <w:color w:val="FFFFFF"/>
                <w:sz w:val="22"/>
              </w:rPr>
              <w:t>Revised Guidance (Q1 2026 Call, Apr 23,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Domain Name Base Growth (FY 2026)</w:t>
            </w:r>
          </w:p>
        </w:tc>
        <w:tc>
          <w:tcPr>
            <w:tcW w:type="dxa" w:w="1728"/>
          </w:tcPr>
          <w:p>
            <w:r>
              <w:rPr>
                <w:rFonts w:ascii="Calibri" w:hAnsi="Calibri"/>
                <w:sz w:val="22"/>
              </w:rPr>
              <w:t>+1.5% to +3.5%</w:t>
            </w:r>
          </w:p>
        </w:tc>
        <w:tc>
          <w:tcPr>
            <w:tcW w:type="dxa" w:w="1728"/>
          </w:tcPr>
          <w:p>
            <w:r>
              <w:rPr>
                <w:rFonts w:ascii="Calibri" w:hAnsi="Calibri"/>
                <w:sz w:val="22"/>
              </w:rPr>
              <w:t>+3.1% to +4.3%</w:t>
            </w:r>
          </w:p>
        </w:tc>
        <w:tc>
          <w:tcPr>
            <w:tcW w:type="dxa" w:w="1728"/>
          </w:tcPr>
          <w:p>
            <w:r>
              <w:rPr>
                <w:rFonts w:ascii="Calibri" w:hAnsi="Calibri"/>
                <w:sz w:val="22"/>
              </w:rPr>
              <w:t>N/A — not in VA</w:t>
            </w:r>
          </w:p>
        </w:tc>
        <w:tc>
          <w:tcPr>
            <w:tcW w:type="dxa" w:w="1728"/>
          </w:tcPr>
          <w:p>
            <w:r>
              <w:rPr>
                <w:rFonts w:ascii="Calibri" w:hAnsi="Calibri"/>
                <w:sz w:val="22"/>
              </w:rPr>
              <w:t>↑ Raised and narrowed at Q1 2026 earnings (Apr 23); reflects broad regional strength and sustained registrar engagement</w:t>
            </w:r>
          </w:p>
        </w:tc>
      </w:tr>
      <w:tr>
        <w:tc>
          <w:tcPr>
            <w:tcW w:type="dxa" w:w="1728"/>
          </w:tcPr>
          <w:p>
            <w:r>
              <w:rPr>
                <w:rFonts w:ascii="Calibri" w:hAnsi="Calibri"/>
                <w:sz w:val="22"/>
              </w:rPr>
              <w:t>Revenue (FY 2026)</w:t>
            </w:r>
          </w:p>
        </w:tc>
        <w:tc>
          <w:tcPr>
            <w:tcW w:type="dxa" w:w="1728"/>
          </w:tcPr>
          <w:p>
            <w:r>
              <w:rPr>
                <w:rFonts w:ascii="Calibri" w:hAnsi="Calibri"/>
                <w:sz w:val="22"/>
              </w:rPr>
              <w:t>$1.715B–$1.735B</w:t>
            </w:r>
          </w:p>
        </w:tc>
        <w:tc>
          <w:tcPr>
            <w:tcW w:type="dxa" w:w="1728"/>
          </w:tcPr>
          <w:p>
            <w:r>
              <w:rPr>
                <w:rFonts w:ascii="Calibri" w:hAnsi="Calibri"/>
                <w:sz w:val="22"/>
              </w:rPr>
              <w:t>$1.730B–$1.745B</w:t>
            </w:r>
          </w:p>
        </w:tc>
        <w:tc>
          <w:tcPr>
            <w:tcW w:type="dxa" w:w="1728"/>
          </w:tcPr>
          <w:p>
            <w:r>
              <w:rPr>
                <w:rFonts w:ascii="Calibri" w:hAnsi="Calibri"/>
                <w:sz w:val="22"/>
              </w:rPr>
              <w:t>N/A — not in VA</w:t>
            </w:r>
          </w:p>
        </w:tc>
        <w:tc>
          <w:tcPr>
            <w:tcW w:type="dxa" w:w="1728"/>
          </w:tcPr>
          <w:p>
            <w:r>
              <w:rPr>
                <w:rFonts w:ascii="Calibri" w:hAnsi="Calibri"/>
                <w:sz w:val="22"/>
              </w:rPr>
              <w:t>↑ Raised at Q1 2026 earnings (Apr 23); midpoint up ~$7.5M</w:t>
            </w:r>
          </w:p>
        </w:tc>
      </w:tr>
      <w:tr>
        <w:tc>
          <w:tcPr>
            <w:tcW w:type="dxa" w:w="1728"/>
          </w:tcPr>
          <w:p>
            <w:r>
              <w:rPr>
                <w:rFonts w:ascii="Calibri" w:hAnsi="Calibri"/>
                <w:sz w:val="22"/>
              </w:rPr>
              <w:t>Operating Income (FY 2026)</w:t>
            </w:r>
          </w:p>
        </w:tc>
        <w:tc>
          <w:tcPr>
            <w:tcW w:type="dxa" w:w="1728"/>
          </w:tcPr>
          <w:p>
            <w:r>
              <w:rPr>
                <w:rFonts w:ascii="Calibri" w:hAnsi="Calibri"/>
                <w:sz w:val="22"/>
              </w:rPr>
              <w:t>$1.160B–$1.180B</w:t>
            </w:r>
          </w:p>
        </w:tc>
        <w:tc>
          <w:tcPr>
            <w:tcW w:type="dxa" w:w="1728"/>
          </w:tcPr>
          <w:p>
            <w:r>
              <w:rPr>
                <w:rFonts w:ascii="Calibri" w:hAnsi="Calibri"/>
                <w:sz w:val="22"/>
              </w:rPr>
              <w:t>$1.170B–$1.185B</w:t>
            </w:r>
          </w:p>
        </w:tc>
        <w:tc>
          <w:tcPr>
            <w:tcW w:type="dxa" w:w="1728"/>
          </w:tcPr>
          <w:p>
            <w:r>
              <w:rPr>
                <w:rFonts w:ascii="Calibri" w:hAnsi="Calibri"/>
                <w:sz w:val="22"/>
              </w:rPr>
              <w:t>N/A — not in VA</w:t>
            </w:r>
          </w:p>
        </w:tc>
        <w:tc>
          <w:tcPr>
            <w:tcW w:type="dxa" w:w="1728"/>
          </w:tcPr>
          <w:p>
            <w:r>
              <w:rPr>
                <w:rFonts w:ascii="Calibri" w:hAnsi="Calibri"/>
                <w:sz w:val="22"/>
              </w:rPr>
              <w:t>↑ Raised at Q1 2026 earnings (Apr 23); midpoint up ~$7.5M</w:t>
            </w:r>
          </w:p>
        </w:tc>
      </w:tr>
      <w:tr>
        <w:tc>
          <w:tcPr>
            <w:tcW w:type="dxa" w:w="1728"/>
          </w:tcPr>
          <w:p>
            <w:r>
              <w:rPr>
                <w:rFonts w:ascii="Calibri" w:hAnsi="Calibri"/>
                <w:sz w:val="22"/>
              </w:rPr>
              <w:t>Interest Expense / Non-op Income (FY 2026)</w:t>
            </w:r>
          </w:p>
        </w:tc>
        <w:tc>
          <w:tcPr>
            <w:tcW w:type="dxa" w:w="1728"/>
          </w:tcPr>
          <w:p>
            <w:r>
              <w:rPr>
                <w:rFonts w:ascii="Calibri" w:hAnsi="Calibri"/>
                <w:sz w:val="22"/>
              </w:rPr>
              <w:t>Expense of $57M–$67M</w:t>
            </w:r>
          </w:p>
        </w:tc>
        <w:tc>
          <w:tcPr>
            <w:tcW w:type="dxa" w:w="1728"/>
          </w:tcPr>
          <w:p>
            <w:r>
              <w:rPr>
                <w:rFonts w:ascii="Calibri" w:hAnsi="Calibri"/>
                <w:sz w:val="22"/>
              </w:rPr>
              <w:t>Expense of $57M–$67M (unchanged)</w:t>
            </w:r>
          </w:p>
        </w:tc>
        <w:tc>
          <w:tcPr>
            <w:tcW w:type="dxa" w:w="1728"/>
          </w:tcPr>
          <w:p>
            <w:r>
              <w:rPr>
                <w:rFonts w:ascii="Calibri" w:hAnsi="Calibri"/>
                <w:sz w:val="22"/>
              </w:rPr>
              <w:t>N/A — not in VA</w:t>
            </w:r>
          </w:p>
        </w:tc>
        <w:tc>
          <w:tcPr>
            <w:tcW w:type="dxa" w:w="1728"/>
          </w:tcPr>
          <w:p>
            <w:r>
              <w:rPr>
                <w:rFonts w:ascii="Calibri" w:hAnsi="Calibri"/>
                <w:sz w:val="22"/>
              </w:rPr>
              <w:t>Unchanged; note: $550M senior notes offering completed June 26, 2026 (5.100% due 2031) may modestly affect interest expense in H2 2026</w:t>
            </w:r>
          </w:p>
        </w:tc>
      </w:tr>
      <w:tr>
        <w:tc>
          <w:tcPr>
            <w:tcW w:type="dxa" w:w="1728"/>
          </w:tcPr>
          <w:p>
            <w:r>
              <w:rPr>
                <w:rFonts w:ascii="Calibri" w:hAnsi="Calibri"/>
                <w:sz w:val="22"/>
              </w:rPr>
              <w:t>CapEx (FY 2026)</w:t>
            </w:r>
          </w:p>
        </w:tc>
        <w:tc>
          <w:tcPr>
            <w:tcW w:type="dxa" w:w="1728"/>
          </w:tcPr>
          <w:p>
            <w:r>
              <w:rPr>
                <w:rFonts w:ascii="Calibri" w:hAnsi="Calibri"/>
                <w:sz w:val="22"/>
              </w:rPr>
              <w:t>$55M–$65M</w:t>
            </w:r>
          </w:p>
        </w:tc>
        <w:tc>
          <w:tcPr>
            <w:tcW w:type="dxa" w:w="1728"/>
          </w:tcPr>
          <w:p>
            <w:r>
              <w:rPr>
                <w:rFonts w:ascii="Calibri" w:hAnsi="Calibri"/>
                <w:sz w:val="22"/>
              </w:rPr>
              <w:t>$55M–$65M (unchanged)</w:t>
            </w:r>
          </w:p>
        </w:tc>
        <w:tc>
          <w:tcPr>
            <w:tcW w:type="dxa" w:w="1728"/>
          </w:tcPr>
          <w:p>
            <w:r>
              <w:rPr>
                <w:rFonts w:ascii="Calibri" w:hAnsi="Calibri"/>
                <w:sz w:val="22"/>
              </w:rPr>
              <w:t>N/A — not in VA</w:t>
            </w:r>
          </w:p>
        </w:tc>
        <w:tc>
          <w:tcPr>
            <w:tcW w:type="dxa" w:w="1728"/>
          </w:tcPr>
          <w:p>
            <w:r>
              <w:rPr>
                <w:rFonts w:ascii="Calibri" w:hAnsi="Calibri"/>
                <w:sz w:val="22"/>
              </w:rPr>
              <w:t>Unchanged; elevated vs. historical due to end-of-life equipment replacement and AI-driven supply cost inflation</w:t>
            </w:r>
          </w:p>
        </w:tc>
      </w:tr>
      <w:tr>
        <w:tc>
          <w:tcPr>
            <w:tcW w:type="dxa" w:w="1728"/>
          </w:tcPr>
          <w:p>
            <w:r>
              <w:rPr>
                <w:rFonts w:ascii="Calibri" w:hAnsi="Calibri"/>
                <w:sz w:val="22"/>
              </w:rPr>
              <w:t>GAAP Effective Tax Rate (FY 2026)</w:t>
            </w:r>
          </w:p>
        </w:tc>
        <w:tc>
          <w:tcPr>
            <w:tcW w:type="dxa" w:w="1728"/>
          </w:tcPr>
          <w:p>
            <w:r>
              <w:rPr>
                <w:rFonts w:ascii="Calibri" w:hAnsi="Calibri"/>
                <w:sz w:val="22"/>
              </w:rPr>
              <w:t>22%–25%</w:t>
            </w:r>
          </w:p>
        </w:tc>
        <w:tc>
          <w:tcPr>
            <w:tcW w:type="dxa" w:w="1728"/>
          </w:tcPr>
          <w:p>
            <w:r>
              <w:rPr>
                <w:rFonts w:ascii="Calibri" w:hAnsi="Calibri"/>
                <w:sz w:val="22"/>
              </w:rPr>
              <w:t>22%–25% (unchanged)</w:t>
            </w:r>
          </w:p>
        </w:tc>
        <w:tc>
          <w:tcPr>
            <w:tcW w:type="dxa" w:w="1728"/>
          </w:tcPr>
          <w:p>
            <w:r>
              <w:rPr>
                <w:rFonts w:ascii="Calibri" w:hAnsi="Calibri"/>
                <w:sz w:val="22"/>
              </w:rPr>
              <w:t>N/A — not in VA</w:t>
            </w:r>
          </w:p>
        </w:tc>
        <w:tc>
          <w:tcPr>
            <w:tcW w:type="dxa" w:w="1728"/>
          </w:tcPr>
          <w:p>
            <w:r>
              <w:rPr>
                <w:rFonts w:ascii="Calibri" w:hAnsi="Calibri"/>
                <w:sz w:val="22"/>
              </w:rPr>
              <w:t>Unchanged</w:t>
            </w:r>
          </w:p>
        </w:tc>
      </w:tr>
      <w:tr>
        <w:tc>
          <w:tcPr>
            <w:tcW w:type="dxa" w:w="1728"/>
          </w:tcPr>
          <w:p>
            <w:r>
              <w:rPr>
                <w:rFonts w:ascii="Calibri" w:hAnsi="Calibri"/>
                <w:sz w:val="22"/>
              </w:rPr>
              <w:t>.com Wholesale Price Increase</w:t>
            </w:r>
          </w:p>
        </w:tc>
        <w:tc>
          <w:tcPr>
            <w:tcW w:type="dxa" w:w="1728"/>
          </w:tcPr>
          <w:p>
            <w:r>
              <w:rPr>
                <w:rFonts w:ascii="Calibri" w:hAnsi="Calibri"/>
                <w:sz w:val="22"/>
              </w:rPr>
              <w:t>Not announced (Q4 2025 call hinted April as first opportunity)</w:t>
            </w:r>
          </w:p>
        </w:tc>
        <w:tc>
          <w:tcPr>
            <w:tcW w:type="dxa" w:w="1728"/>
          </w:tcPr>
          <w:p>
            <w:r>
              <w:rPr>
                <w:rFonts w:ascii="Calibri" w:hAnsi="Calibri"/>
                <w:sz w:val="22"/>
              </w:rPr>
              <w:t>$10.26 → $10.97 effective Nov. 1, 2026 (announced Apr 23, 2026)</w:t>
            </w:r>
          </w:p>
        </w:tc>
        <w:tc>
          <w:tcPr>
            <w:tcW w:type="dxa" w:w="1728"/>
          </w:tcPr>
          <w:p>
            <w:r>
              <w:rPr>
                <w:rFonts w:ascii="Calibri" w:hAnsi="Calibri"/>
                <w:sz w:val="22"/>
              </w:rPr>
              <w:t>N/A</w:t>
            </w:r>
          </w:p>
        </w:tc>
        <w:tc>
          <w:tcPr>
            <w:tcW w:type="dxa" w:w="1728"/>
          </w:tcPr>
          <w:p>
            <w:r>
              <w:rPr>
                <w:rFonts w:ascii="Calibri" w:hAnsi="Calibri"/>
                <w:sz w:val="22"/>
              </w:rPr>
              <w:t>New: +$0.71/domain (+6.9%); first price increase since Feb 2024; adds ~$50M+ annualized revenue tailwind beginning Q4 2026</w:t>
            </w:r>
          </w:p>
        </w:tc>
      </w:tr>
    </w:tbl>
    <w:p>
      <w:r>
        <w:rPr>
          <w:rFonts w:ascii="Calibri" w:hAnsi="Calibri"/>
          <w:b/>
          <w:color w:val="525866"/>
          <w:sz w:val="22"/>
        </w:rPr>
        <w:t xml:space="preserve">Sources: </w:t>
      </w:r>
      <w:r>
        <w:rPr>
          <w:rFonts w:ascii="Calibri" w:hAnsi="Calibri"/>
          <w:color w:val="525866"/>
          <w:sz w:val="22"/>
        </w:rPr>
        <w:t>VeriSign Q4 2025 Earnings Call Transcript (Feb 5, 2026); VeriSign Q1 2026 Earnings Call Transcript (Apr 23, 2026); VeriSign 8-K re: Senior Notes Offering (Jun 26,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Visible Alpha consensus data was unavailable for VRSN, so the estimate revision trail cannot be quantified. The directional signal from management is unambiguously positive — guidance was raised materially after Q1 2026, and no post-earnings downward revisions have been communicated. The gap between the initial FY 2026 domain growth guidance (1.5%–3.5%) and the revised range (3.1%–4.3%) is the clearest indicator that estimates should have moved higher since the Q4 2025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Q4 2025 Earnings (Feb 10, 2026)</w:t>
            </w:r>
          </w:p>
        </w:tc>
        <w:tc>
          <w:tcPr>
            <w:tcW w:type="dxa" w:w="1080"/>
            <w:shd w:val="clear" w:color="auto" w:fill="3B4259"/>
          </w:tcPr>
          <w:p>
            <w:r>
              <w:rPr>
                <w:rFonts w:ascii="Calibri" w:hAnsi="Calibri"/>
                <w:b/>
                <w:color w:val="FFFFFF"/>
                <w:sz w:val="22"/>
              </w:rPr>
              <w:t>Current Estimate</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(Q4 2025 Call)</w:t>
            </w:r>
          </w:p>
        </w:tc>
        <w:tc>
          <w:tcPr>
            <w:tcW w:type="dxa" w:w="1080"/>
            <w:shd w:val="clear" w:color="auto" w:fill="3B4259"/>
          </w:tcPr>
          <w:p>
            <w:r>
              <w:rPr>
                <w:rFonts w:ascii="Calibri" w:hAnsi="Calibri"/>
                <w:b/>
                <w:color w:val="FFFFFF"/>
                <w:sz w:val="22"/>
              </w:rPr>
              <w:t>Current Guidance (Q1 2026 Call)</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$1.715B–$1.735B (mid: $1.725B)</w:t>
            </w:r>
          </w:p>
        </w:tc>
        <w:tc>
          <w:tcPr>
            <w:tcW w:type="dxa" w:w="1080"/>
          </w:tcPr>
          <w:p>
            <w:r>
              <w:rPr>
                <w:rFonts w:ascii="Calibri" w:hAnsi="Calibri"/>
                <w:sz w:val="22"/>
              </w:rPr>
              <w:t>$1.730B–$1.745B (mid: $1.738B)</w:t>
            </w:r>
          </w:p>
        </w:tc>
        <w:tc>
          <w:tcPr>
            <w:tcW w:type="dxa" w:w="1080"/>
          </w:tcPr>
          <w:p>
            <w:r>
              <w:rPr>
                <w:rFonts w:ascii="Calibri" w:hAnsi="Calibri"/>
                <w:sz w:val="22"/>
              </w:rPr>
              <w:t>+$12.5M / +0.7%</w:t>
            </w:r>
          </w:p>
        </w:tc>
        <w:tc>
          <w:tcPr>
            <w:tcW w:type="dxa" w:w="1080"/>
          </w:tcPr>
          <w:p>
            <w:r>
              <w:rPr>
                <w:rFonts w:ascii="Calibri" w:hAnsi="Calibri"/>
                <w:sz w:val="22"/>
              </w:rPr>
              <w:t>N/A</w:t>
            </w:r>
          </w:p>
        </w:tc>
      </w:tr>
      <w:tr>
        <w:tc>
          <w:tcPr>
            <w:tcW w:type="dxa" w:w="1080"/>
          </w:tcPr>
          <w:p>
            <w:r>
              <w:rPr>
                <w:rFonts w:ascii="Calibri" w:hAnsi="Calibri"/>
                <w:sz w:val="22"/>
              </w:rPr>
              <w:t>Domain Base Growth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+1.5% to +3.5% (mid: +2.5%)</w:t>
            </w:r>
          </w:p>
        </w:tc>
        <w:tc>
          <w:tcPr>
            <w:tcW w:type="dxa" w:w="1080"/>
          </w:tcPr>
          <w:p>
            <w:r>
              <w:rPr>
                <w:rFonts w:ascii="Calibri" w:hAnsi="Calibri"/>
                <w:sz w:val="22"/>
              </w:rPr>
              <w:t>+3.1% to +4.3% (mid: +3.7%)</w:t>
            </w:r>
          </w:p>
        </w:tc>
        <w:tc>
          <w:tcPr>
            <w:tcW w:type="dxa" w:w="1080"/>
          </w:tcPr>
          <w:p>
            <w:r>
              <w:rPr>
                <w:rFonts w:ascii="Calibri" w:hAnsi="Calibri"/>
                <w:sz w:val="22"/>
              </w:rPr>
              <w:t>+120 bps at midpoint</w:t>
            </w:r>
          </w:p>
        </w:tc>
        <w:tc>
          <w:tcPr>
            <w:tcW w:type="dxa" w:w="1080"/>
          </w:tcPr>
          <w:p>
            <w:r>
              <w:rPr>
                <w:rFonts w:ascii="Calibri" w:hAnsi="Calibri"/>
                <w:sz w:val="22"/>
              </w:rPr>
              <w:t>N/A</w:t>
            </w:r>
          </w:p>
        </w:tc>
      </w:tr>
      <w:tr>
        <w:tc>
          <w:tcPr>
            <w:tcW w:type="dxa" w:w="1080"/>
          </w:tcPr>
          <w:p>
            <w:r>
              <w:rPr>
                <w:rFonts w:ascii="Calibri" w:hAnsi="Calibri"/>
                <w:sz w:val="22"/>
              </w:rPr>
              <w:t>Operating Income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$1.160B–$1.180B (mid: $1.170B)</w:t>
            </w:r>
          </w:p>
        </w:tc>
        <w:tc>
          <w:tcPr>
            <w:tcW w:type="dxa" w:w="1080"/>
          </w:tcPr>
          <w:p>
            <w:r>
              <w:rPr>
                <w:rFonts w:ascii="Calibri" w:hAnsi="Calibri"/>
                <w:sz w:val="22"/>
              </w:rPr>
              <w:t>$1.170B–$1.185B (mid: $1.178B)</w:t>
            </w:r>
          </w:p>
        </w:tc>
        <w:tc>
          <w:tcPr>
            <w:tcW w:type="dxa" w:w="1080"/>
          </w:tcPr>
          <w:p>
            <w:r>
              <w:rPr>
                <w:rFonts w:ascii="Calibri" w:hAnsi="Calibri"/>
                <w:sz w:val="22"/>
              </w:rPr>
              <w:t>+$7.5M / +0.6%</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most significant revision signal is the domain growth guidance raise — from a midpoint of +2.5% to +3.7% — a 120 basis point upward shift in just one quarter. This is the clearest indicator that sell-side estimates should have moved materially higher since the Q4 2025 print. Revenue guidance was also raised by ~$12.5M at the midpoint. Without live VA consensus data, the precise estimate delta cannot be quantified, but the directional signal is unambiguously positive.</w:t>
      </w:r>
    </w:p>
    <w:p>
      <w:r>
        <w:rPr>
          <w:rFonts w:ascii="Calibri" w:hAnsi="Calibri"/>
          <w:b/>
          <w:color w:val="525866"/>
          <w:sz w:val="22"/>
        </w:rPr>
        <w:t xml:space="preserve">Sources: </w:t>
      </w:r>
      <w:r>
        <w:rPr>
          <w:rFonts w:ascii="Calibri" w:hAnsi="Calibri"/>
          <w:color w:val="525866"/>
          <w:sz w:val="22"/>
        </w:rPr>
        <w:t>VeriSign Q4 2025 Earnings Call Transcript (Feb 5, 2026); VeriSign Q1 2026 Earnings Call Transcript (Apr 23,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VRSN has significantly underperformed IGV (+9.9%) and the S&amp;P 500 (+5.6%) since the Q1 2026 earnings date (April 23, 2026), with VRSN down approximately -3.9% through July 21. The underperformance appears sentiment- and multiple-driven rather than fundamental — the stock peaked near $310 in late May before selling off sharply in June, coinciding with broader tech sector rotation and the debt offering announcement. This divergence between improving fundamentals and weak relative price action may represent a setup for re-rating on a clean Q2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VRSN vs. IGV (iShares Expanded Tech-Software ETF) vs. S&amp;P 500 — Indexed to 100 at April 23, 2026 (Q1 2026 Earnings Date). Through July 21, 2026: VRSN -3.9%, IGV +9.9%, SPY +5.6%. Key event marked: June 26, 2026 — $550M Senior Notes Offering completed.</w:t>
      </w:r>
    </w:p>
    <w:p>
      <w:r>
        <w:rPr>
          <w:rFonts w:ascii="Calibri" w:hAnsi="Calibri"/>
          <w:b/>
          <w:color w:val="525866"/>
          <w:sz w:val="22"/>
        </w:rPr>
        <w:t xml:space="preserve">Sector ETF: </w:t>
      </w:r>
      <w:r>
        <w:rPr>
          <w:rFonts w:ascii="Calibri" w:hAnsi="Calibri"/>
          <w:color w:val="525866"/>
          <w:sz w:val="22"/>
        </w:rPr>
        <w:t>IGV (iShares Expanded Tech-Software ETF) was selected as the benchmark given VeriSign's classification as a technology/internet infrastructure company. IGV captures the software and internet infrastructure sub-sector most relevant to VRSN's peer group.</w:t>
      </w:r>
    </w:p>
    <w:p>
      <w:r>
        <w:rPr>
          <w:rFonts w:ascii="Calibri" w:hAnsi="Calibri"/>
          <w:b/>
          <w:color w:val="525866"/>
          <w:sz w:val="22"/>
        </w:rPr>
        <w:t xml:space="preserve">Performance Detail: </w:t>
      </w:r>
      <w:r>
        <w:rPr>
          <w:rFonts w:ascii="Calibri" w:hAnsi="Calibri"/>
          <w:color w:val="525866"/>
          <w:sz w:val="22"/>
        </w:rPr>
        <w:t>VRSN rallied from $277 to a high of ~$310 by May 22 (approximately +12% from earnings), then reversed sharply through June, falling to a low near $247 by June 22-23 before partially recovering. The June selloff coincided with the announcement and completion of the $550M senior notes offering (June 26). By July 21, VRSN had recovered to $266, still well below the May peak and underperforming both IGV and SPY on a since-earnings basis.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$550M senior notes offering completed June 26, which refinances existing debt but modestly increases interest expense in H2 2026. The .com price increase announcement (effective Nov. 1, 2026) is the most strategically significant event for the medium-term revenue outlook.</w:t>
      </w:r>
    </w:p>
    <w:p>
      <w:pPr>
        <w:pStyle w:val="ListBullet"/>
        <w:ind w:left="360" w:hanging="360"/>
      </w:pPr>
      <w:r>
        <w:rPr>
          <w:rFonts w:ascii="Calibri" w:hAnsi="Calibri"/>
          <w:b/>
          <w:color w:val="525866"/>
          <w:sz w:val="22"/>
        </w:rPr>
        <w:t>April 23, 2026 — .com Wholesale Price Increase Announced:</w:t>
      </w:r>
      <w:r>
        <w:rPr>
          <w:rFonts w:ascii="Calibri" w:hAnsi="Calibri"/>
          <w:color w:val="525866"/>
          <w:sz w:val="22"/>
        </w:rPr>
        <w:t xml:space="preserve"> VeriSign announced a $0.71 increase to the annual wholesale .com price, from $10.26 to $10.97, effective November 1, 2026. This is the first allowable price increase since February 2024 and adds an estimated $50M+ annualized revenue tailwind beginning Q4 2026. GoDaddy noted at the Evercore TMT Conference (June 2, 2026) that customers on 1-year terms become eligible for the price increase 2 years sooner than 3-year term customers, potentially accelerating the revenue benefit. </w:t>
      </w:r>
    </w:p>
    <w:p>
      <w:pPr>
        <w:pStyle w:val="ListBullet"/>
        <w:ind w:left="360" w:hanging="360"/>
      </w:pPr>
      <w:r>
        <w:rPr>
          <w:rFonts w:ascii="Calibri" w:hAnsi="Calibri"/>
          <w:b/>
          <w:color w:val="525866"/>
          <w:sz w:val="22"/>
        </w:rPr>
        <w:t>April 23, 2026 — Q1 2026 Earnings Beat &amp; Guidance Raise:</w:t>
      </w:r>
      <w:r>
        <w:rPr>
          <w:rFonts w:ascii="Calibri" w:hAnsi="Calibri"/>
          <w:color w:val="525866"/>
          <w:sz w:val="22"/>
        </w:rPr>
        <w:t xml:space="preserve"> VeriSign reported Q1 2026 revenue of $429M (+6.6% YoY), diluted EPS of $2.34 (+11.4% YoY), and domain name base of 176.1M (record high). Full-year domain growth guidance raised to 3.1%–4.3% from 1.5%–3.5%. Full-year revenue guidance raised to $1.730B–$1.745B. Stock reaction was muted positive. </w:t>
      </w:r>
    </w:p>
    <w:p>
      <w:pPr>
        <w:pStyle w:val="ListBullet"/>
        <w:ind w:left="360" w:hanging="360"/>
      </w:pPr>
      <w:r>
        <w:rPr>
          <w:rFonts w:ascii="Calibri" w:hAnsi="Calibri"/>
          <w:b/>
          <w:color w:val="525866"/>
          <w:sz w:val="22"/>
        </w:rPr>
        <w:t>April 23, 2026 — Quarterly Dividend Declared:</w:t>
      </w:r>
      <w:r>
        <w:rPr>
          <w:rFonts w:ascii="Calibri" w:hAnsi="Calibri"/>
          <w:color w:val="525866"/>
          <w:sz w:val="22"/>
        </w:rPr>
        <w:t xml:space="preserve"> Board approved $0.81/share quarterly dividend (payable May 27, 2026), representing a continuation of the dividend program initiated in Q2 2025. VeriSign returned over 100% of free cash flow to shareholders in the trailing 12 months ($1.13B total via buybacks and dividends). </w:t>
      </w:r>
    </w:p>
    <w:p>
      <w:pPr>
        <w:pStyle w:val="ListBullet"/>
        <w:ind w:left="360" w:hanging="360"/>
      </w:pPr>
      <w:r>
        <w:rPr>
          <w:rFonts w:ascii="Calibri" w:hAnsi="Calibri"/>
          <w:b/>
          <w:color w:val="525866"/>
          <w:sz w:val="22"/>
        </w:rPr>
        <w:t>April 23, 2026 — High Assurance Infrastructure / New Security Services Teased:</w:t>
      </w:r>
      <w:r>
        <w:rPr>
          <w:rFonts w:ascii="Calibri" w:hAnsi="Calibri"/>
          <w:color w:val="525866"/>
          <w:sz w:val="22"/>
        </w:rPr>
        <w:t xml:space="preserve"> Management announced a forthcoming blog series on “high assurance infrastructure” and enhanced security components, with a concrete near-term rollout timeline. This represents a shift from generic “evaluating” language to imminent product disclosure. Potential new revenue stream, though scale and timing remain unclear. </w:t>
      </w:r>
    </w:p>
    <w:p>
      <w:pPr>
        <w:pStyle w:val="ListBullet"/>
        <w:ind w:left="360" w:hanging="360"/>
      </w:pPr>
      <w:r>
        <w:rPr>
          <w:rFonts w:ascii="Calibri" w:hAnsi="Calibri"/>
          <w:b/>
          <w:color w:val="525866"/>
          <w:sz w:val="22"/>
        </w:rPr>
        <w:t>April 30 – August 12, 2026 — ICANN New gTLD Application Window Open:</w:t>
      </w:r>
      <w:r>
        <w:rPr>
          <w:rFonts w:ascii="Calibri" w:hAnsi="Calibri"/>
          <w:color w:val="525866"/>
          <w:sz w:val="22"/>
        </w:rPr>
        <w:t xml:space="preserve"> ICANN opened the application window for new generic top-level domains (first round since 2012). VeriSign disclosed it is taking necessary technical steps to be ready to apply but has not committed. Any new gTLDs from this round are unlikely to launch before 2028. Potential long-term strategic optionality; not a near-term earnings driver. </w:t>
      </w:r>
    </w:p>
    <w:p>
      <w:pPr>
        <w:pStyle w:val="ListBullet"/>
        <w:ind w:left="360" w:hanging="360"/>
      </w:pPr>
      <w:r>
        <w:rPr>
          <w:rFonts w:ascii="Calibri" w:hAnsi="Calibri"/>
          <w:b/>
          <w:color w:val="525866"/>
          <w:sz w:val="22"/>
        </w:rPr>
        <w:t>June 26, 2026 — $550M Senior Notes Offering Completed:</w:t>
      </w:r>
      <w:r>
        <w:rPr>
          <w:rFonts w:ascii="Calibri" w:hAnsi="Calibri"/>
          <w:color w:val="525866"/>
          <w:sz w:val="22"/>
        </w:rPr>
        <w:t xml:space="preserve"> VeriSign completed a registered offering of $550M in 5.100% Senior Notes due July 15, 2031. Proceeds used to refinance existing debt. Interest payable semi-annually beginning January 15, 2027. The offering modestly increases interest expense in H2 2026 relative to prior guidance; management’s interest expense guidance of $57M–$67M for FY 2026 (unchanged at Q1) may need to be revisited. </w:t>
      </w:r>
    </w:p>
    <w:p>
      <w:pPr>
        <w:pStyle w:val="ListBullet"/>
        <w:ind w:left="360" w:hanging="360"/>
      </w:pPr>
      <w:r>
        <w:rPr>
          <w:rFonts w:ascii="Calibri" w:hAnsi="Calibri"/>
          <w:b/>
          <w:color w:val="525866"/>
          <w:sz w:val="22"/>
        </w:rPr>
        <w:t>July 1, 2026 — Q2 2026 Earnings Date Announced:</w:t>
      </w:r>
      <w:r>
        <w:rPr>
          <w:rFonts w:ascii="Calibri" w:hAnsi="Calibri"/>
          <w:color w:val="525866"/>
          <w:sz w:val="22"/>
        </w:rPr>
        <w:t xml:space="preserve"> VeriSign confirmed Q2 2026 earnings teleconference for July 23, 2026 at 4:30 PM EDT, with earnings release at approximately 4:05 PM EDT. </w:t>
      </w:r>
    </w:p>
    <w:p>
      <w:r>
        <w:rPr>
          <w:rFonts w:ascii="Calibri" w:hAnsi="Calibri"/>
          <w:b/>
          <w:color w:val="525866"/>
          <w:sz w:val="22"/>
        </w:rPr>
        <w:t xml:space="preserve">Sources: </w:t>
      </w:r>
      <w:r>
        <w:rPr>
          <w:rFonts w:ascii="Calibri" w:hAnsi="Calibri"/>
          <w:color w:val="525866"/>
          <w:sz w:val="22"/>
        </w:rPr>
        <w:t>VeriSign Q1 2026 Earnings Release and Transcript (Apr 23, 2026); VeriSign 8-K re: Senior Notes Pricing (Jun 26, 2026); VeriSign 8-K re: Senior Notes Completion (Jun 26, 2026); VeriSign Press Release re: Q2 2026 Earnings Date (Jul 1, 2026).</w:t>
      </w:r>
    </w:p>
    <w:p>
      <w:r>
        <w:br w:type="page"/>
      </w:r>
    </w:p>
    <w:p>
      <w:r>
        <w:rPr>
          <w:rFonts w:ascii="Calibri" w:hAnsi="Calibri"/>
          <w:b/>
          <w:color w:val="525866"/>
          <w:sz w:val="22"/>
        </w:rPr>
        <w:t xml:space="preserve">Sources: </w:t>
      </w:r>
      <w:r>
        <w:rPr>
          <w:rFonts w:ascii="Calibri" w:hAnsi="Calibri"/>
          <w:color w:val="525866"/>
          <w:sz w:val="22"/>
        </w:rPr>
        <w:t>SEC Form 4 filings for VRSN insiders (April–July 2026); SEC Form 144 filings for Indelicarto Thomas C (July 2026). All CEO sales confirmed as 10b5-1 plan transactions. Director Armstrong purchase confirmed as non-10b5-1 open-market acquisition.</w:t>
      </w:r>
    </w:p>
    <w:p>
      <w:r>
        <w:br w:type="page"/>
      </w:r>
    </w:p>
    <w:p>
      <w:pPr>
        <w:pStyle w:val="Heading2"/>
      </w:pPr>
      <w:r>
        <w:rPr>
          <w:rFonts w:ascii="Calibri" w:hAnsi="Calibri"/>
          <w:b/>
          <w:color w:val="3B4259"/>
          <w:sz w:val="28"/>
        </w:rPr>
        <w:t>8. Peer Commentary Read-Through</w:t>
      </w:r>
    </w:p>
    <w:p>
      <w:r>
        <w:rPr>
          <w:rFonts w:ascii="Calibri" w:hAnsi="Calibri"/>
          <w:b/>
          <w:color w:val="525866"/>
          <w:sz w:val="22"/>
        </w:rPr>
        <w:t xml:space="preserve">Key Takeaway: </w:t>
      </w:r>
      <w:r>
        <w:rPr>
          <w:rFonts w:ascii="Calibri" w:hAnsi="Calibri"/>
          <w:color w:val="525866"/>
          <w:sz w:val="22"/>
        </w:rPr>
        <w:t xml:space="preserve">Both GoDaddy (Evercore TMT Conference, June 2, 2026) and Wix (Jefferies Software, Internet &amp; AI Conference, May 27, 2026) provided commentary directly relevant to Q2 2026 domain demand conditions. The read-through is </w:t>
      </w:r>
      <w:r>
        <w:rPr>
          <w:rFonts w:ascii="Calibri" w:hAnsi="Calibri"/>
          <w:b/>
          <w:color w:val="30A46C"/>
          <w:sz w:val="22"/>
        </w:rPr>
        <w:t>constructive for VRSN</w:t>
      </w:r>
      <w:r>
        <w:rPr>
          <w:rFonts w:ascii="Calibri" w:hAnsi="Calibri"/>
          <w:color w:val="525866"/>
          <w:sz w:val="22"/>
        </w:rPr>
        <w:t>: GoDaddy explicitly cited elevated domain market growth driven by AI, described domains as increasingly a “priority” in the agentic internet era, and noted strong conversion trends. Wix highlighted an “exploding” market for non-professional website/application creation powered by AI. Both signals support continued strength in new registrations and renewal rates heading into Q2.</w:t>
      </w:r>
    </w:p>
    <w:p>
      <w:r>
        <w:rPr>
          <w:rFonts w:ascii="Calibri" w:hAnsi="Calibri"/>
          <w:b/>
          <w:color w:val="525866"/>
          <w:sz w:val="22"/>
        </w:rPr>
        <w:t xml:space="preserve">Methodology Note: </w:t>
      </w:r>
      <w:r>
        <w:rPr>
          <w:rFonts w:ascii="Calibri" w:hAnsi="Calibri"/>
          <w:color w:val="525866"/>
          <w:sz w:val="22"/>
        </w:rPr>
        <w:t>Only commentary from the last 60 days (on or after May 22, 2026) that addresses Q2 2026 conditions or post-last-earnings current-quarter trends is included below. Retrospective Q1-only commentary has been excluded per the user’s instruction.</w:t>
      </w:r>
    </w:p>
    <w:p>
      <w:pPr>
        <w:pStyle w:val="Heading3"/>
      </w:pPr>
      <w:r>
        <w:rPr>
          <w:rFonts w:ascii="Calibri" w:hAnsi="Calibri"/>
          <w:b/>
          <w:color w:val="3B4259"/>
          <w:sz w:val="24"/>
        </w:rPr>
        <w:t>GoDaddy (GDDY) — Evercore TMT Global Conference, June 2, 2026</w:t>
      </w:r>
    </w:p>
    <w:p>
      <w:r>
        <w:rPr>
          <w:rFonts w:ascii="Calibri" w:hAnsi="Calibri"/>
          <w:b/>
          <w:color w:val="525866"/>
          <w:sz w:val="22"/>
        </w:rPr>
        <w:t xml:space="preserve">Relevance: </w:t>
      </w:r>
      <w:r>
        <w:rPr>
          <w:rFonts w:ascii="Calibri" w:hAnsi="Calibri"/>
          <w:color w:val="525866"/>
          <w:sz w:val="22"/>
        </w:rPr>
        <w:t>GoDaddy is the world’s largest domain registrar and VeriSign’s most important channel partner. GoDaddy’s commentary on domain market conditions, AI-driven demand, and registrar trends is the highest-quality read-through available for VRSN’s Q2 2026 domain metrics.</w:t>
      </w:r>
    </w:p>
    <w:p>
      <w:pPr>
        <w:pStyle w:val="ListBullet"/>
        <w:ind w:left="360" w:hanging="360"/>
      </w:pPr>
      <w:r>
        <w:rPr>
          <w:rFonts w:ascii="Calibri" w:hAnsi="Calibri"/>
          <w:b/>
          <w:color w:val="30A46C"/>
          <w:sz w:val="22"/>
        </w:rPr>
        <w:t>Domain Market Growth — Positive Read-Through:</w:t>
      </w:r>
      <w:r>
        <w:rPr>
          <w:rFonts w:ascii="Calibri" w:hAnsi="Calibri"/>
          <w:color w:val="525866"/>
          <w:sz w:val="22"/>
        </w:rPr>
        <w:t xml:space="preserve"> GoDaddy’s management stated there is “elevated growth in domains in the market generally,” drawing “more people online than we’ve seen in the past.” This directly supports VRSN’s new registration and domain base growth trajectory heading into Q2 2026.</w:t>
      </w:r>
    </w:p>
    <w:p>
      <w:pPr>
        <w:pStyle w:val="ListBullet"/>
        <w:ind w:left="360" w:hanging="360"/>
      </w:pPr>
      <w:r>
        <w:rPr>
          <w:rFonts w:ascii="Calibri" w:hAnsi="Calibri"/>
          <w:b/>
          <w:color w:val="30A46C"/>
          <w:sz w:val="22"/>
        </w:rPr>
        <w:t>Domains as ‘Priority’ in the AI Era — Positive Read-Through:</w:t>
      </w:r>
      <w:r>
        <w:rPr>
          <w:rFonts w:ascii="Calibri" w:hAnsi="Calibri"/>
          <w:color w:val="525866"/>
          <w:sz w:val="22"/>
        </w:rPr>
        <w:t xml:space="preserve"> GoDaddy noted that the domain “is not only remaining relevant, it’s becoming a priority because the agents still have to act and be able to go places and go get content and you need your real estate on the Internet and that real estate is owned by the domain name itself.” This validates VeriSign’s thesis that AI increases DNS dependence and domain value.</w:t>
      </w:r>
    </w:p>
    <w:p>
      <w:pPr>
        <w:pStyle w:val="ListBullet"/>
        <w:ind w:left="360" w:hanging="360"/>
      </w:pPr>
      <w:r>
        <w:rPr>
          <w:rFonts w:ascii="Calibri" w:hAnsi="Calibri"/>
          <w:b/>
          <w:color w:val="30A46C"/>
          <w:sz w:val="22"/>
        </w:rPr>
        <w:t>Airo AI Builder — Positive Read-Through:</w:t>
      </w:r>
      <w:r>
        <w:rPr>
          <w:rFonts w:ascii="Calibri" w:hAnsi="Calibri"/>
          <w:color w:val="525866"/>
          <w:sz w:val="22"/>
        </w:rPr>
        <w:t xml:space="preserve"> GoDaddy’s Airo AI Builder (launched coming out of Q1 2026) showed “great momentum, great engagement” with customers signing up for higher plans and consuming additional tokens. The product drives a “reverse attach” trend where AI agent interactions lead users to domain name purchases. GoDaddy planned to put marketing behind Airo.ai for the remainder of 2026, which should drive incremental domain registrations through VRSN’s infrastructure.</w:t>
      </w:r>
    </w:p>
    <w:p>
      <w:pPr>
        <w:pStyle w:val="ListBullet"/>
        <w:ind w:left="360" w:hanging="360"/>
      </w:pPr>
      <w:r>
        <w:rPr>
          <w:rFonts w:ascii="Calibri" w:hAnsi="Calibri"/>
          <w:b/>
          <w:color w:val="525866"/>
          <w:sz w:val="22"/>
        </w:rPr>
        <w:t>Bulk Domain Speculation — Incremental Positive:</w:t>
      </w:r>
      <w:r>
        <w:rPr>
          <w:rFonts w:ascii="Calibri" w:hAnsi="Calibri"/>
          <w:color w:val="525866"/>
          <w:sz w:val="22"/>
        </w:rPr>
        <w:t xml:space="preserve"> GoDaddy noted that “investors are coming into the market, and they’re buying bulk domain names now, because they’re speculating that these domains will gain value.” This is an incremental demand driver for new registrations that may not have been fully anticipated in VRSN’s guidance.</w:t>
      </w:r>
    </w:p>
    <w:p>
      <w:pPr>
        <w:pStyle w:val="ListBullet"/>
        <w:ind w:left="360" w:hanging="360"/>
      </w:pPr>
      <w:r>
        <w:rPr>
          <w:rFonts w:ascii="Calibri" w:hAnsi="Calibri"/>
          <w:b/>
          <w:color w:val="525866"/>
          <w:sz w:val="22"/>
        </w:rPr>
        <w:t>.com Price Increase Awareness — Neutral/Watch:</w:t>
      </w:r>
      <w:r>
        <w:rPr>
          <w:rFonts w:ascii="Calibri" w:hAnsi="Calibri"/>
          <w:color w:val="525866"/>
          <w:sz w:val="22"/>
        </w:rPr>
        <w:t xml:space="preserve"> GoDaddy’s management explicitly acknowledged “VeriSign has a new price increase that they’re about to do,” noting that customers on 1-year terms become “eligible for that price increase 2 years sooner than anyone who’s on a 3-year” term. GoDaddy’s shift toward 1-year terms for new customers (the “$4.99” promotion) means the price increase will flow through to a larger portion of the customer base more quickly. This is a medium-term positive for VRSN revenue but could create minor near-term noise in renewal patterns.</w:t>
      </w:r>
    </w:p>
    <w:p>
      <w:pPr>
        <w:pStyle w:val="ListBullet"/>
        <w:ind w:left="360" w:hanging="360"/>
      </w:pPr>
      <w:r>
        <w:rPr>
          <w:rFonts w:ascii="Calibri" w:hAnsi="Calibri"/>
          <w:b/>
          <w:color w:val="30A46C"/>
          <w:sz w:val="22"/>
        </w:rPr>
        <w:t>Conversion Trends — Positive Read-Through:</w:t>
      </w:r>
      <w:r>
        <w:rPr>
          <w:rFonts w:ascii="Calibri" w:hAnsi="Calibri"/>
          <w:color w:val="525866"/>
          <w:sz w:val="22"/>
        </w:rPr>
        <w:t xml:space="preserve"> GoDaddy cited “higher conversion” at the top of the funnel by targeting high-intent customers, with Airo helping customers attach a second product “30% faster than they were pre-Airo.” Higher conversion rates translate directly to more domain registrations through VRSN’s infrastructure.</w:t>
      </w:r>
    </w:p>
    <w:p>
      <w:pPr>
        <w:pStyle w:val="ListBullet"/>
        <w:ind w:left="360" w:hanging="360"/>
      </w:pPr>
      <w:r>
        <w:rPr>
          <w:rFonts w:ascii="Calibri" w:hAnsi="Calibri"/>
          <w:b/>
          <w:color w:val="525866"/>
          <w:sz w:val="22"/>
        </w:rPr>
        <w:t>Small Business Demand — Stable:</w:t>
      </w:r>
      <w:r>
        <w:rPr>
          <w:rFonts w:ascii="Calibri" w:hAnsi="Calibri"/>
          <w:color w:val="525866"/>
          <w:sz w:val="22"/>
        </w:rPr>
        <w:t xml:space="preserve"> GoDaddy stated “the core need state of micro small businesses remains consistent” — they want to bring ideas to market, converse with customers, sell, and accept payments. This stable demand base supports VRSN’s renewal rate trajectory.</w:t>
      </w:r>
    </w:p>
    <w:p>
      <w:pPr>
        <w:pStyle w:val="ListBullet"/>
        <w:ind w:left="360" w:hanging="360"/>
      </w:pPr>
      <w:r>
        <w:rPr>
          <w:rFonts w:ascii="Calibri" w:hAnsi="Calibri"/>
          <w:b/>
          <w:color w:val="525866"/>
          <w:sz w:val="22"/>
        </w:rPr>
        <w:t>Temporary Headwinds — Watch:</w:t>
      </w:r>
      <w:r>
        <w:rPr>
          <w:rFonts w:ascii="Calibri" w:hAnsi="Calibri"/>
          <w:color w:val="525866"/>
          <w:sz w:val="22"/>
        </w:rPr>
        <w:t xml:space="preserve"> GoDaddy identified several “temporary” headwinds expected to hit the front end of 2026 and tail off: (1) not renewing a core platform contract, (2) lower aftermarket activity vs. 2025, (3) rollout impact of the $4.99 offer, and (4) pausing pricing/bundling for website marketing upgrades. These are GoDaddy-specific and largely unrelated to VRSN’s wholesale domain volumes, but worth monitoring for any spillover into registrar engagement.</w:t>
      </w:r>
    </w:p>
    <w:p>
      <w:r>
        <w:rPr>
          <w:rFonts w:ascii="Calibri" w:hAnsi="Calibri"/>
          <w:b/>
          <w:color w:val="525866"/>
          <w:sz w:val="22"/>
        </w:rPr>
        <w:t xml:space="preserve">Source: </w:t>
      </w:r>
      <w:r>
        <w:rPr>
          <w:rFonts w:ascii="Calibri" w:hAnsi="Calibri"/>
          <w:color w:val="525866"/>
          <w:sz w:val="22"/>
        </w:rPr>
        <w:t>GoDaddy (GDDY) presentation at Evercore TMT Global Conference, June 2, 2026.</w:t>
      </w:r>
    </w:p>
    <w:p>
      <w:pPr>
        <w:pStyle w:val="Heading3"/>
      </w:pPr>
      <w:r>
        <w:rPr>
          <w:rFonts w:ascii="Calibri" w:hAnsi="Calibri"/>
          <w:b/>
          <w:color w:val="3B4259"/>
          <w:sz w:val="24"/>
        </w:rPr>
        <w:t>Wix (WIX) — Jefferies Software, Internet &amp; AI Conference, May 27, 2026</w:t>
      </w:r>
    </w:p>
    <w:p>
      <w:r>
        <w:rPr>
          <w:rFonts w:ascii="Calibri" w:hAnsi="Calibri"/>
          <w:b/>
          <w:color w:val="525866"/>
          <w:sz w:val="22"/>
        </w:rPr>
        <w:t xml:space="preserve">Relevance: </w:t>
      </w:r>
      <w:r>
        <w:rPr>
          <w:rFonts w:ascii="Calibri" w:hAnsi="Calibri"/>
          <w:color w:val="525866"/>
          <w:sz w:val="22"/>
        </w:rPr>
        <w:t>Wix is a major website builder and domain registrar that serves as a meaningful channel for .com/.net registrations. Wix’s commentary on AI-driven website creation demand and small business trends provides a read-through to VRSN’s new registration volumes.</w:t>
      </w:r>
    </w:p>
    <w:p>
      <w:pPr>
        <w:pStyle w:val="ListBullet"/>
        <w:ind w:left="360" w:hanging="360"/>
      </w:pPr>
      <w:r>
        <w:rPr>
          <w:rFonts w:ascii="Calibri" w:hAnsi="Calibri"/>
          <w:b/>
          <w:color w:val="30A46C"/>
          <w:sz w:val="22"/>
        </w:rPr>
        <w:t>AI-Driven Website/Application Creation — Positive Read-Through:</w:t>
      </w:r>
      <w:r>
        <w:rPr>
          <w:rFonts w:ascii="Calibri" w:hAnsi="Calibri"/>
          <w:color w:val="525866"/>
          <w:sz w:val="22"/>
        </w:rPr>
        <w:t xml:space="preserve"> Wix CFO Lior Shemesh described the market for non-professional application building as “exploding,” with Wix’s Base platform holding “about 40% of the US market for non-professionals looking to build applications.” Wix’s Harmony product (combining AI/vibe coding with drag-and-drop) has “increased time significantly for people that are coming with an intent, not just to build a website, but to build all kinds of applications.” This expanding addressable market for online presence creation is a direct positive for domain registration demand.</w:t>
      </w:r>
    </w:p>
    <w:p>
      <w:pPr>
        <w:pStyle w:val="ListBullet"/>
        <w:ind w:left="360" w:hanging="360"/>
      </w:pPr>
      <w:r>
        <w:rPr>
          <w:rFonts w:ascii="Calibri" w:hAnsi="Calibri"/>
          <w:b/>
          <w:color w:val="30A46C"/>
          <w:sz w:val="22"/>
        </w:rPr>
        <w:t>AI Lowering Barriers to Online Presence — Positive Read-Through:</w:t>
      </w:r>
      <w:r>
        <w:rPr>
          <w:rFonts w:ascii="Calibri" w:hAnsi="Calibri"/>
          <w:color w:val="525866"/>
          <w:sz w:val="22"/>
        </w:rPr>
        <w:t xml:space="preserve"> Wix described itself as “truly a full AI company,” with AI tools reducing the cost and complexity of website/application creation. Lower barriers to entry for online presence creation should drive incremental new domain registrations through VRSN’s infrastructure.</w:t>
      </w:r>
    </w:p>
    <w:p>
      <w:pPr>
        <w:pStyle w:val="ListBullet"/>
        <w:ind w:left="360" w:hanging="360"/>
      </w:pPr>
      <w:r>
        <w:rPr>
          <w:rFonts w:ascii="Calibri" w:hAnsi="Calibri"/>
          <w:b/>
          <w:color w:val="30A46C"/>
          <w:sz w:val="22"/>
        </w:rPr>
        <w:t>Small Business and Enterprise Demand — Positive Read-Through:</w:t>
      </w:r>
      <w:r>
        <w:rPr>
          <w:rFonts w:ascii="Calibri" w:hAnsi="Calibri"/>
          <w:color w:val="525866"/>
          <w:sz w:val="22"/>
        </w:rPr>
        <w:t xml:space="preserve"> Wix noted growth “not just for individuals, but also for big enterprises” using Base for CRM, management tools, and productivity applications. The CFO cited building a full SOX compliance workflow management system within weeks using Base, saving $60,000–$70,000. This broad-based demand across customer segments supports VRSN’s renewal rate improvement thesis.</w:t>
      </w:r>
    </w:p>
    <w:p>
      <w:pPr>
        <w:pStyle w:val="ListBullet"/>
        <w:ind w:left="360" w:hanging="360"/>
      </w:pPr>
      <w:r>
        <w:rPr>
          <w:rFonts w:ascii="Calibri" w:hAnsi="Calibri"/>
          <w:b/>
          <w:color w:val="30A46C"/>
          <w:sz w:val="22"/>
        </w:rPr>
        <w:t>Conversion Improvement — Positive Read-Through:</w:t>
      </w:r>
      <w:r>
        <w:rPr>
          <w:rFonts w:ascii="Calibri" w:hAnsi="Calibri"/>
          <w:color w:val="525866"/>
          <w:sz w:val="22"/>
        </w:rPr>
        <w:t xml:space="preserve"> Wix’s marketing strategy targets ROI within 5–7 months, with ongoing focus on improving conversion rates. Higher conversion rates for website building platforms translate directly to more domain registrations.</w:t>
      </w:r>
    </w:p>
    <w:p>
      <w:pPr>
        <w:pStyle w:val="ListBullet"/>
        <w:ind w:left="360" w:hanging="360"/>
      </w:pPr>
      <w:r>
        <w:rPr>
          <w:rFonts w:ascii="Calibri" w:hAnsi="Calibri"/>
          <w:b/>
          <w:color w:val="525866"/>
          <w:sz w:val="22"/>
        </w:rPr>
        <w:t>Cost Efficiency via Proprietary LLM — Neutral:</w:t>
      </w:r>
      <w:r>
        <w:rPr>
          <w:rFonts w:ascii="Calibri" w:hAnsi="Calibri"/>
          <w:color w:val="525866"/>
          <w:sz w:val="22"/>
        </w:rPr>
        <w:t xml:space="preserve"> Wix developed its own proprietary LLM model, reducing AI costs to “about 5% of the cost that would have been paid if we [used] a third-party LM model.” This improves Wix’s ability to sustain and grow its AI-powered offerings, which is indirectly positive for domain demand.</w:t>
      </w:r>
    </w:p>
    <w:p>
      <w:r>
        <w:rPr>
          <w:rFonts w:ascii="Calibri" w:hAnsi="Calibri"/>
          <w:b/>
          <w:color w:val="525866"/>
          <w:sz w:val="22"/>
        </w:rPr>
        <w:t xml:space="preserve">Source: </w:t>
      </w:r>
      <w:r>
        <w:rPr>
          <w:rFonts w:ascii="Calibri" w:hAnsi="Calibri"/>
          <w:color w:val="525866"/>
          <w:sz w:val="22"/>
        </w:rPr>
        <w:t>Wix (WIX) presentation at Jefferies Software, Internet &amp; AI Conference, May 27, 2026.</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VRSN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Elevated domain market growth driven by AI</w:t>
            </w:r>
          </w:p>
        </w:tc>
        <w:tc>
          <w:tcPr>
            <w:tcW w:type="dxa" w:w="1728"/>
          </w:tcPr>
          <w:p>
            <w:r>
              <w:rPr>
                <w:rFonts w:ascii="Calibri" w:hAnsi="Calibri"/>
                <w:sz w:val="22"/>
              </w:rPr>
              <w:t>Supports Q2 new registration strength</w:t>
            </w:r>
          </w:p>
        </w:tc>
        <w:tc>
          <w:tcPr>
            <w:tcW w:type="dxa" w:w="1728"/>
          </w:tcPr>
          <w:p>
            <w:r>
              <w:rPr>
                <w:rFonts w:ascii="Calibri" w:hAnsi="Calibri"/>
                <w:b/>
                <w:color w:val="30A46C"/>
                <w:sz w:val="22"/>
              </w:rPr>
              <w:t>Positive</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Domain as ‘priority’ in agentic internet era</w:t>
            </w:r>
          </w:p>
        </w:tc>
        <w:tc>
          <w:tcPr>
            <w:tcW w:type="dxa" w:w="1728"/>
          </w:tcPr>
          <w:p>
            <w:r>
              <w:rPr>
                <w:rFonts w:ascii="Calibri" w:hAnsi="Calibri"/>
                <w:sz w:val="22"/>
              </w:rPr>
              <w:t>Validates AI-driven DNS dependence thesis</w:t>
            </w:r>
          </w:p>
        </w:tc>
        <w:tc>
          <w:tcPr>
            <w:tcW w:type="dxa" w:w="1728"/>
          </w:tcPr>
          <w:p>
            <w:r>
              <w:rPr>
                <w:rFonts w:ascii="Calibri" w:hAnsi="Calibri"/>
                <w:b/>
                <w:color w:val="30A46C"/>
                <w:sz w:val="22"/>
              </w:rPr>
              <w:t>Positive</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Airo AI Builder momentum; reverse-attach domain trend</w:t>
            </w:r>
          </w:p>
        </w:tc>
        <w:tc>
          <w:tcPr>
            <w:tcW w:type="dxa" w:w="1728"/>
          </w:tcPr>
          <w:p>
            <w:r>
              <w:rPr>
                <w:rFonts w:ascii="Calibri" w:hAnsi="Calibri"/>
                <w:sz w:val="22"/>
              </w:rPr>
              <w:t>Incremental new registrations via AI-driven onboarding</w:t>
            </w:r>
          </w:p>
        </w:tc>
        <w:tc>
          <w:tcPr>
            <w:tcW w:type="dxa" w:w="1728"/>
          </w:tcPr>
          <w:p>
            <w:r>
              <w:rPr>
                <w:rFonts w:ascii="Calibri" w:hAnsi="Calibri"/>
                <w:b/>
                <w:color w:val="30A46C"/>
                <w:sz w:val="22"/>
              </w:rPr>
              <w:t>Positive</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Bulk domain speculation by investors</w:t>
            </w:r>
          </w:p>
        </w:tc>
        <w:tc>
          <w:tcPr>
            <w:tcW w:type="dxa" w:w="1728"/>
          </w:tcPr>
          <w:p>
            <w:r>
              <w:rPr>
                <w:rFonts w:ascii="Calibri" w:hAnsi="Calibri"/>
                <w:sz w:val="22"/>
              </w:rPr>
              <w:t>Incremental demand driver for new registrations</w:t>
            </w:r>
          </w:p>
        </w:tc>
        <w:tc>
          <w:tcPr>
            <w:tcW w:type="dxa" w:w="1728"/>
          </w:tcPr>
          <w:p>
            <w:r>
              <w:rPr>
                <w:rFonts w:ascii="Calibri" w:hAnsi="Calibri"/>
                <w:b/>
                <w:color w:val="30A46C"/>
                <w:sz w:val="22"/>
              </w:rPr>
              <w:t>Positive</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.com price increase awareness; 1-yr term shift</w:t>
            </w:r>
          </w:p>
        </w:tc>
        <w:tc>
          <w:tcPr>
            <w:tcW w:type="dxa" w:w="1728"/>
          </w:tcPr>
          <w:p>
            <w:r>
              <w:rPr>
                <w:rFonts w:ascii="Calibri" w:hAnsi="Calibri"/>
                <w:sz w:val="22"/>
              </w:rPr>
              <w:t>Faster price increase flow-through; minor renewal noise risk</w:t>
            </w:r>
          </w:p>
        </w:tc>
        <w:tc>
          <w:tcPr>
            <w:tcW w:type="dxa" w:w="1728"/>
          </w:tcPr>
          <w:p>
            <w:r>
              <w:rPr>
                <w:rFonts w:ascii="Calibri" w:hAnsi="Calibri"/>
                <w:sz w:val="22"/>
              </w:rPr>
              <w:t>Neutral / Watch</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Higher conversion; Airo 30% faster product attach</w:t>
            </w:r>
          </w:p>
        </w:tc>
        <w:tc>
          <w:tcPr>
            <w:tcW w:type="dxa" w:w="1728"/>
          </w:tcPr>
          <w:p>
            <w:r>
              <w:rPr>
                <w:rFonts w:ascii="Calibri" w:hAnsi="Calibri"/>
                <w:sz w:val="22"/>
              </w:rPr>
              <w:t>More domain registrations; better retention</w:t>
            </w:r>
          </w:p>
        </w:tc>
        <w:tc>
          <w:tcPr>
            <w:tcW w:type="dxa" w:w="1728"/>
          </w:tcPr>
          <w:p>
            <w:r>
              <w:rPr>
                <w:rFonts w:ascii="Calibri" w:hAnsi="Calibri"/>
                <w:b/>
                <w:color w:val="30A46C"/>
                <w:sz w:val="22"/>
              </w:rPr>
              <w:t>Positive</w:t>
            </w:r>
          </w:p>
        </w:tc>
      </w:tr>
      <w:tr>
        <w:tc>
          <w:tcPr>
            <w:tcW w:type="dxa" w:w="1728"/>
          </w:tcPr>
          <w:p>
            <w:r>
              <w:rPr>
                <w:rFonts w:ascii="Calibri" w:hAnsi="Calibri"/>
                <w:sz w:val="22"/>
              </w:rPr>
              <w:t>GoDaddy (GDDY)</w:t>
            </w:r>
          </w:p>
        </w:tc>
        <w:tc>
          <w:tcPr>
            <w:tcW w:type="dxa" w:w="1728"/>
          </w:tcPr>
          <w:p>
            <w:r>
              <w:rPr>
                <w:rFonts w:ascii="Calibri" w:hAnsi="Calibri"/>
                <w:sz w:val="22"/>
              </w:rPr>
              <w:t>Evercore TMT Conf., Jun 2, 2026</w:t>
            </w:r>
          </w:p>
        </w:tc>
        <w:tc>
          <w:tcPr>
            <w:tcW w:type="dxa" w:w="1728"/>
          </w:tcPr>
          <w:p>
            <w:r>
              <w:rPr>
                <w:rFonts w:ascii="Calibri" w:hAnsi="Calibri"/>
                <w:sz w:val="22"/>
              </w:rPr>
              <w:t>Temporary headwinds (platform contract, aftermarket)</w:t>
            </w:r>
          </w:p>
        </w:tc>
        <w:tc>
          <w:tcPr>
            <w:tcW w:type="dxa" w:w="1728"/>
          </w:tcPr>
          <w:p>
            <w:r>
              <w:rPr>
                <w:rFonts w:ascii="Calibri" w:hAnsi="Calibri"/>
                <w:sz w:val="22"/>
              </w:rPr>
              <w:t>GoDaddy-specific; limited VRSN spillover expected</w:t>
            </w:r>
          </w:p>
        </w:tc>
        <w:tc>
          <w:tcPr>
            <w:tcW w:type="dxa" w:w="1728"/>
          </w:tcPr>
          <w:p>
            <w:r>
              <w:rPr>
                <w:rFonts w:ascii="Calibri" w:hAnsi="Calibri"/>
                <w:sz w:val="22"/>
              </w:rPr>
              <w:t>Neutral / Watch</w:t>
            </w:r>
          </w:p>
        </w:tc>
      </w:tr>
      <w:tr>
        <w:tc>
          <w:tcPr>
            <w:tcW w:type="dxa" w:w="1728"/>
          </w:tcPr>
          <w:p>
            <w:r>
              <w:rPr>
                <w:rFonts w:ascii="Calibri" w:hAnsi="Calibri"/>
                <w:sz w:val="22"/>
              </w:rPr>
              <w:t>Wix (WIX)</w:t>
            </w:r>
          </w:p>
        </w:tc>
        <w:tc>
          <w:tcPr>
            <w:tcW w:type="dxa" w:w="1728"/>
          </w:tcPr>
          <w:p>
            <w:r>
              <w:rPr>
                <w:rFonts w:ascii="Calibri" w:hAnsi="Calibri"/>
                <w:sz w:val="22"/>
              </w:rPr>
              <w:t>Jefferies Conf., May 27, 2026</w:t>
            </w:r>
          </w:p>
        </w:tc>
        <w:tc>
          <w:tcPr>
            <w:tcW w:type="dxa" w:w="1728"/>
          </w:tcPr>
          <w:p>
            <w:r>
              <w:rPr>
                <w:rFonts w:ascii="Calibri" w:hAnsi="Calibri"/>
                <w:sz w:val="22"/>
              </w:rPr>
              <w:t>‘Exploding’ non-professional app/website creation market</w:t>
            </w:r>
          </w:p>
        </w:tc>
        <w:tc>
          <w:tcPr>
            <w:tcW w:type="dxa" w:w="1728"/>
          </w:tcPr>
          <w:p>
            <w:r>
              <w:rPr>
                <w:rFonts w:ascii="Calibri" w:hAnsi="Calibri"/>
                <w:sz w:val="22"/>
              </w:rPr>
              <w:t>Expanding pool of potential domain registrants</w:t>
            </w:r>
          </w:p>
        </w:tc>
        <w:tc>
          <w:tcPr>
            <w:tcW w:type="dxa" w:w="1728"/>
          </w:tcPr>
          <w:p>
            <w:r>
              <w:rPr>
                <w:rFonts w:ascii="Calibri" w:hAnsi="Calibri"/>
                <w:b/>
                <w:color w:val="30A46C"/>
                <w:sz w:val="22"/>
              </w:rPr>
              <w:t>Positive</w:t>
            </w:r>
          </w:p>
        </w:tc>
      </w:tr>
      <w:tr>
        <w:tc>
          <w:tcPr>
            <w:tcW w:type="dxa" w:w="1728"/>
          </w:tcPr>
          <w:p>
            <w:r>
              <w:rPr>
                <w:rFonts w:ascii="Calibri" w:hAnsi="Calibri"/>
                <w:sz w:val="22"/>
              </w:rPr>
              <w:t>Wix (WIX)</w:t>
            </w:r>
          </w:p>
        </w:tc>
        <w:tc>
          <w:tcPr>
            <w:tcW w:type="dxa" w:w="1728"/>
          </w:tcPr>
          <w:p>
            <w:r>
              <w:rPr>
                <w:rFonts w:ascii="Calibri" w:hAnsi="Calibri"/>
                <w:sz w:val="22"/>
              </w:rPr>
              <w:t>Jefferies Conf., May 27, 2026</w:t>
            </w:r>
          </w:p>
        </w:tc>
        <w:tc>
          <w:tcPr>
            <w:tcW w:type="dxa" w:w="1728"/>
          </w:tcPr>
          <w:p>
            <w:r>
              <w:rPr>
                <w:rFonts w:ascii="Calibri" w:hAnsi="Calibri"/>
                <w:sz w:val="22"/>
              </w:rPr>
              <w:t>AI lowering barriers to online presence creation</w:t>
            </w:r>
          </w:p>
        </w:tc>
        <w:tc>
          <w:tcPr>
            <w:tcW w:type="dxa" w:w="1728"/>
          </w:tcPr>
          <w:p>
            <w:r>
              <w:rPr>
                <w:rFonts w:ascii="Calibri" w:hAnsi="Calibri"/>
                <w:sz w:val="22"/>
              </w:rPr>
              <w:t>Incremental new domain registrations</w:t>
            </w:r>
          </w:p>
        </w:tc>
        <w:tc>
          <w:tcPr>
            <w:tcW w:type="dxa" w:w="1728"/>
          </w:tcPr>
          <w:p>
            <w:r>
              <w:rPr>
                <w:rFonts w:ascii="Calibri" w:hAnsi="Calibri"/>
                <w:b/>
                <w:color w:val="30A46C"/>
                <w:sz w:val="22"/>
              </w:rPr>
              <w:t>Positive</w:t>
            </w:r>
          </w:p>
        </w:tc>
      </w:tr>
      <w:tr>
        <w:tc>
          <w:tcPr>
            <w:tcW w:type="dxa" w:w="1728"/>
          </w:tcPr>
          <w:p>
            <w:r>
              <w:rPr>
                <w:rFonts w:ascii="Calibri" w:hAnsi="Calibri"/>
                <w:sz w:val="22"/>
              </w:rPr>
              <w:t>Wix (WIX)</w:t>
            </w:r>
          </w:p>
        </w:tc>
        <w:tc>
          <w:tcPr>
            <w:tcW w:type="dxa" w:w="1728"/>
          </w:tcPr>
          <w:p>
            <w:r>
              <w:rPr>
                <w:rFonts w:ascii="Calibri" w:hAnsi="Calibri"/>
                <w:sz w:val="22"/>
              </w:rPr>
              <w:t>Jefferies Conf., May 27, 2026</w:t>
            </w:r>
          </w:p>
        </w:tc>
        <w:tc>
          <w:tcPr>
            <w:tcW w:type="dxa" w:w="1728"/>
          </w:tcPr>
          <w:p>
            <w:r>
              <w:rPr>
                <w:rFonts w:ascii="Calibri" w:hAnsi="Calibri"/>
                <w:sz w:val="22"/>
              </w:rPr>
              <w:t>Broad demand from individuals and enterprises</w:t>
            </w:r>
          </w:p>
        </w:tc>
        <w:tc>
          <w:tcPr>
            <w:tcW w:type="dxa" w:w="1728"/>
          </w:tcPr>
          <w:p>
            <w:r>
              <w:rPr>
                <w:rFonts w:ascii="Calibri" w:hAnsi="Calibri"/>
                <w:sz w:val="22"/>
              </w:rPr>
              <w:t>Supports renewal rate improvement thesis</w:t>
            </w:r>
          </w:p>
        </w:tc>
        <w:tc>
          <w:tcPr>
            <w:tcW w:type="dxa" w:w="1728"/>
          </w:tcPr>
          <w:p>
            <w:r>
              <w:rPr>
                <w:rFonts w:ascii="Calibri" w:hAnsi="Calibri"/>
                <w:b/>
                <w:color w:val="30A46C"/>
                <w:sz w:val="22"/>
              </w:rPr>
              <w:t>Positive</w:t>
            </w:r>
          </w:p>
        </w:tc>
      </w:tr>
    </w:tbl>
    <w:p>
      <w:r>
        <w:rPr>
          <w:rFonts w:ascii="Calibri" w:hAnsi="Calibri"/>
          <w:b/>
          <w:color w:val="525866"/>
          <w:sz w:val="22"/>
        </w:rPr>
        <w:t xml:space="preserve">Overall Peer Read-Through Assessment: </w:t>
      </w:r>
      <w:r>
        <w:rPr>
          <w:rFonts w:ascii="Calibri" w:hAnsi="Calibri"/>
          <w:color w:val="525866"/>
          <w:sz w:val="22"/>
        </w:rPr>
        <w:t>The peer commentary from GoDaddy and Wix is broadly constructive for VRSN’s Q2 2026 print. GoDaddy’s explicit acknowledgment of elevated domain market growth, the domain’s rising strategic importance in the AI/agentic internet era, and strong conversion trends all support continued strength in VRSN’s new registrations and renewal rates. Wix’s commentary on the ‘exploding’ non-professional application creation market and AI-driven demand reinforces the same thesis. The only watch items are GoDaddy-specific headwinds (platform contract, aftermarket) and the potential for minor renewal pattern noise from the 1-year term shift ahead of the November price increase — neither of which is expected to materially impact VRSN’s Q2 wholesale volumes.</w:t>
      </w:r>
    </w:p>
    <w:p>
      <w:r>
        <w:rPr>
          <w:rFonts w:ascii="Calibri" w:hAnsi="Calibri"/>
          <w:b/>
          <w:color w:val="525866"/>
          <w:sz w:val="22"/>
        </w:rPr>
        <w:t xml:space="preserve">Disclaimer: </w:t>
      </w:r>
      <w:r>
        <w:rPr>
          <w:rFonts w:ascii="Calibri" w:hAnsi="Calibri"/>
          <w:color w:val="525866"/>
          <w:sz w:val="22"/>
        </w:rPr>
        <w:t>This earnings preview is prepared for informational purposes only. All financial data is sourced from publicly available company filings, earnings transcripts, and conference presentations. Visible Alpha consensus estimates were unavailable for VRSN at the time of preparation; all consensus fields are marked N/A. This document does not constitute investment advice.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