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vz-earnings-predictions--2026-07-24"/>
    <w:p>
      <w:pPr>
        <w:pStyle w:val="Heading1"/>
      </w:pPr>
      <w:r>
        <w:t xml:space="preserve">VZ Earnings Predictions — 2026-07-24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VZ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~$1.30 vs. cons $1.28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VZ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Revenue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~$35.4B vs. cons $35.2B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VZ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Postpaid phone net additions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~175K vs. cons 150K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VZ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Adjusted EPS growth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~5%-6% vs. cons 5.6%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VZ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Free cash flow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~$21.5B+ vs. cons $21.7B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VZ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Postpaid phone net additions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~875K-1.0M vs. cons 925K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VZ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Mobility and broadband service revenue growth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~2%-3% vs. cons 2.5% (FY2026)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VZ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Operating-expense savings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~$5.0B vs. cons $5.0B (FY2026)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VZ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+1.6%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VZ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+0.5% (FADE)</w:t>
            </w:r>
          </w:p>
        </w:tc>
        <w:tc>
          <w:tcPr/>
          <w:p>
            <w:pPr>
              <w:pStyle w:val="Compact"/>
            </w:pPr>
            <w:r>
              <w:t xml:space="preserve">5-day residual ~+0.5% vs. day-1 residual +1.6%: an EPS and subscriber beat supports the initial move, but unchanged FY2026 guidance after the quarterly beat implies slightly softer second-half estimate math and limits positive revisions.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2026-07-24T00:05:39Z</dcterms:created>
  <dcterms:modified xsi:type="dcterms:W3CDTF">2026-07-24T00:05:39Z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