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verizon-vz-2026-q2-earnings-preview"/>
    <w:p>
      <w:pPr>
        <w:pStyle w:val="Heading1"/>
      </w:pPr>
      <w:r>
        <w:t xml:space="preserve">Verizon (VZ) 2026 Q2 Earnings Preview</w:t>
      </w:r>
    </w:p>
    <w:p>
      <w:pPr>
        <w:pStyle w:val="FirstParagraph"/>
      </w:pPr>
      <w:r>
        <w:rPr>
          <w:b/>
          <w:bCs/>
        </w:rPr>
        <w:t xml:space="preserve">Report date:</w:t>
      </w:r>
      <w:r>
        <w:t xml:space="preserve"> </w:t>
      </w:r>
      <w:r>
        <w:t xml:space="preserve">Friday, July 24, 2026, before the market opens</w:t>
      </w:r>
      <w:r>
        <w:br/>
      </w:r>
      <w:r>
        <w:rPr>
          <w:b/>
          <w:bCs/>
        </w:rPr>
        <w:t xml:space="preserve">Event:</w:t>
      </w:r>
      <w:r>
        <w:t xml:space="preserve"> </w:t>
      </w:r>
      <w:r>
        <w:t xml:space="preserve">2026 Q2 earnings call</w:t>
      </w:r>
      <w:r>
        <w:br/>
      </w:r>
      <w:r>
        <w:rPr>
          <w:b/>
          <w:bCs/>
        </w:rPr>
        <w:t xml:space="preserve">Closing share price, July 23:</w:t>
      </w:r>
      <w:r>
        <w:t xml:space="preserve"> </w:t>
      </w:r>
      <w:r>
        <w:t xml:space="preserve">$43.83</w:t>
      </w:r>
    </w:p>
    <w:bookmarkStart w:id="9" w:name="executive-view"/>
    <w:p>
      <w:pPr>
        <w:pStyle w:val="Heading2"/>
      </w:pPr>
      <w:r>
        <w:t xml:space="preserve">Executive view</w:t>
      </w:r>
    </w:p>
    <w:p>
      <w:pPr>
        <w:pStyle w:val="FirstParagraph"/>
      </w:pPr>
      <w:r>
        <w:t xml:space="preserve">Verizon enters the quarter with substantially better operating momentum than it had a year ago. First-quarter phone additions, churn, margins and earnings all improved, prompting management to raise full-year adjusted EPS guidance after only one quarter.</w:t>
      </w:r>
    </w:p>
    <w:p>
      <w:pPr>
        <w:pStyle w:val="BodyText"/>
      </w:pPr>
      <w:r>
        <w:t xml:space="preserve">The central question tomorrow is therefore</w:t>
      </w:r>
      <w:r>
        <w:t xml:space="preserve"> </w:t>
      </w:r>
      <w:r>
        <w:rPr>
          <w:b/>
          <w:bCs/>
        </w:rPr>
        <w:t xml:space="preserve">not whether Verizon can beat quarterly EPS by a few cents</w:t>
      </w:r>
      <w:r>
        <w:t xml:space="preserve">. It is whether the company can demonstrate that its early turnaround is durable:</w:t>
      </w:r>
    </w:p>
    <w:p>
      <w:pPr>
        <w:pStyle w:val="Compact"/>
        <w:numPr>
          <w:ilvl w:val="0"/>
          <w:numId w:val="1001"/>
        </w:numPr>
      </w:pPr>
      <w:r>
        <w:t xml:space="preserve">Can wireless subscriber growth remain positive without returning to expensive device promotions?</w:t>
      </w:r>
    </w:p>
    <w:p>
      <w:pPr>
        <w:pStyle w:val="Compact"/>
        <w:numPr>
          <w:ilvl w:val="0"/>
          <w:numId w:val="1001"/>
        </w:numPr>
      </w:pPr>
      <w:r>
        <w:t xml:space="preserve">Can service-revenue growth accelerate from Q1’s depressed level?</w:t>
      </w:r>
    </w:p>
    <w:p>
      <w:pPr>
        <w:pStyle w:val="Compact"/>
        <w:numPr>
          <w:ilvl w:val="0"/>
          <w:numId w:val="1001"/>
        </w:numPr>
      </w:pPr>
      <w:r>
        <w:t xml:space="preserve">Are the promised cost savings producing sustainable margin and cash-flow growth?</w:t>
      </w:r>
    </w:p>
    <w:p>
      <w:pPr>
        <w:pStyle w:val="Compact"/>
        <w:numPr>
          <w:ilvl w:val="0"/>
          <w:numId w:val="1001"/>
        </w:numPr>
      </w:pPr>
      <w:r>
        <w:t xml:space="preserve">Is the Frontier integration strengthening broadband growth without delaying deleveraging?</w:t>
      </w:r>
    </w:p>
    <w:p>
      <w:pPr>
        <w:pStyle w:val="Compact"/>
        <w:numPr>
          <w:ilvl w:val="0"/>
          <w:numId w:val="1001"/>
        </w:numPr>
      </w:pPr>
      <w:r>
        <w:t xml:space="preserve">How much of the savings will reach shareholders rather than be reinvested to defend the customer base?</w:t>
      </w:r>
    </w:p>
    <w:p>
      <w:pPr>
        <w:pStyle w:val="FirstParagraph"/>
      </w:pPr>
      <w:r>
        <w:t xml:space="preserve">Given Verizon’s relative stock-price outperformance this year, expectations are higher than they were at the Q1 report. A routine EPS beat may not be enough if churn, service revenue or guidance disappoint.</w:t>
      </w:r>
    </w:p>
    <w:p>
      <w:r>
        <w:pict>
          <v:rect style="width:0;height:1.5pt" o:hralign="center" o:hrstd="t" o:hr="t"/>
        </w:pic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consensus / comparison</w:t>
            </w:r>
          </w:p>
        </w:tc>
      </w:tr>
      <w:tr>
        <w:tc>
          <w:tcPr/>
          <w:p>
            <w:pPr>
              <w:pStyle w:val="Compact"/>
            </w:pPr>
            <w:r>
              <w:t xml:space="preserve">Revenue</w:t>
            </w:r>
          </w:p>
        </w:tc>
        <w:tc>
          <w:tcPr/>
          <w:p>
            <w:pPr>
              <w:pStyle w:val="Compact"/>
              <w:jc w:val="right"/>
            </w:pPr>
            <w:r>
              <w:t xml:space="preserve">Approximately</w:t>
            </w:r>
            <w:r>
              <w:t xml:space="preserve"> </w:t>
            </w:r>
            <w:r>
              <w:rPr>
                <w:b/>
                <w:bCs/>
              </w:rPr>
              <w:t xml:space="preserve">$35.2 billion</w:t>
            </w:r>
          </w:p>
        </w:tc>
      </w:tr>
      <w:tr>
        <w:tc>
          <w:tcPr/>
          <w:p>
            <w:pPr>
              <w:pStyle w:val="Compact"/>
            </w:pPr>
            <w:r>
              <w:t xml:space="preserve">Adjusted EPS</w:t>
            </w:r>
          </w:p>
        </w:tc>
        <w:tc>
          <w:tcPr/>
          <w:p>
            <w:pPr>
              <w:pStyle w:val="Compact"/>
              <w:jc w:val="right"/>
            </w:pPr>
            <w:r>
              <w:t xml:space="preserve">Approximately</w:t>
            </w:r>
            <w:r>
              <w:t xml:space="preserve"> </w:t>
            </w:r>
            <w:r>
              <w:rPr>
                <w:b/>
                <w:bCs/>
              </w:rPr>
              <w:t xml:space="preserve">$1.28</w:t>
            </w:r>
          </w:p>
        </w:tc>
      </w:tr>
      <w:tr>
        <w:tc>
          <w:tcPr/>
          <w:p>
            <w:pPr>
              <w:pStyle w:val="Compact"/>
            </w:pPr>
            <w:r>
              <w:t xml:space="preserve">Q2 2025 revenue</w:t>
            </w:r>
          </w:p>
        </w:tc>
        <w:tc>
          <w:tcPr/>
          <w:p>
            <w:pPr>
              <w:pStyle w:val="Compact"/>
              <w:jc w:val="right"/>
            </w:pPr>
            <w:r>
              <w:rPr>
                <w:b/>
                <w:bCs/>
              </w:rPr>
              <w:t xml:space="preserve">$34.5 billion</w:t>
            </w:r>
          </w:p>
        </w:tc>
      </w:tr>
      <w:tr>
        <w:tc>
          <w:tcPr/>
          <w:p>
            <w:pPr>
              <w:pStyle w:val="Compact"/>
            </w:pPr>
            <w:r>
              <w:t xml:space="preserve">Q2 2025 adjusted EPS</w:t>
            </w:r>
          </w:p>
        </w:tc>
        <w:tc>
          <w:tcPr/>
          <w:p>
            <w:pPr>
              <w:pStyle w:val="Compact"/>
              <w:jc w:val="right"/>
            </w:pPr>
            <w:r>
              <w:rPr>
                <w:b/>
                <w:bCs/>
              </w:rPr>
              <w:t xml:space="preserve">$1.22</w:t>
            </w:r>
            <w:r>
              <w:t xml:space="preserve"> </w:t>
            </w:r>
            <w:r>
              <w:t xml:space="preserve">as officially reported*</w:t>
            </w:r>
          </w:p>
        </w:tc>
      </w:tr>
      <w:tr>
        <w:tc>
          <w:tcPr/>
          <w:p>
            <w:pPr>
              <w:pStyle w:val="Compact"/>
            </w:pPr>
            <w:r>
              <w:t xml:space="preserve">Q2 2025 total postpaid phone net adds</w:t>
            </w:r>
          </w:p>
        </w:tc>
        <w:tc>
          <w:tcPr/>
          <w:p>
            <w:pPr>
              <w:pStyle w:val="Compact"/>
              <w:jc w:val="right"/>
            </w:pPr>
            <w:r>
              <w:rPr>
                <w:b/>
                <w:bCs/>
              </w:rPr>
              <w:t xml:space="preserve">9,000 net losses</w:t>
            </w:r>
          </w:p>
        </w:tc>
      </w:tr>
      <w:tr>
        <w:tc>
          <w:tcPr/>
          <w:p>
            <w:pPr>
              <w:pStyle w:val="Compact"/>
            </w:pPr>
            <w:r>
              <w:t xml:space="preserve">Q2 2025 postpaid phone churn</w:t>
            </w:r>
          </w:p>
        </w:tc>
        <w:tc>
          <w:tcPr/>
          <w:p>
            <w:pPr>
              <w:pStyle w:val="Compact"/>
              <w:jc w:val="right"/>
            </w:pPr>
            <w:r>
              <w:rPr>
                <w:b/>
                <w:bCs/>
              </w:rPr>
              <w:t xml:space="preserve">0.97%</w:t>
            </w:r>
          </w:p>
        </w:tc>
      </w:tr>
      <w:tr>
        <w:tc>
          <w:tcPr/>
          <w:p>
            <w:pPr>
              <w:pStyle w:val="Compact"/>
            </w:pPr>
            <w:r>
              <w:t xml:space="preserve">Q2 2025 broadband net adds, recast</w:t>
            </w:r>
          </w:p>
        </w:tc>
        <w:tc>
          <w:tcPr/>
          <w:p>
            <w:pPr>
              <w:pStyle w:val="Compact"/>
              <w:jc w:val="right"/>
            </w:pPr>
            <w:r>
              <w:rPr>
                <w:b/>
                <w:bCs/>
              </w:rPr>
              <w:t xml:space="preserve">310,000</w:t>
            </w:r>
          </w:p>
        </w:tc>
      </w:tr>
    </w:tbl>
    <w:p>
      <w:pPr>
        <w:pStyle w:val="BodyText"/>
      </w:pPr>
      <w:r>
        <w:t xml:space="preserve">*Some market-data services show the prior-year adjusted EPS comparison as $1.21.</w:t>
      </w:r>
    </w:p>
    <w:p>
      <w:pPr>
        <w:pStyle w:val="BodyText"/>
      </w:pPr>
      <w:r>
        <w:t xml:space="preserve">The consensus implies modest reported revenue growth but healthy earnings growth. That combination reflects the investment thesis around Verizon:</w:t>
      </w:r>
      <w:r>
        <w:t xml:space="preserve"> </w:t>
      </w:r>
      <w:r>
        <w:rPr>
          <w:b/>
          <w:bCs/>
        </w:rPr>
        <w:t xml:space="preserve">cost reduction and improving customer economics should drive profit faster than revenue</w:t>
      </w:r>
      <w:r>
        <w:t xml:space="preserve">, even with additional interest and depreciation from Frontier.</w:t>
      </w:r>
    </w:p>
    <w:p>
      <w:r>
        <w:pict>
          <v:rect style="width:0;height:1.5pt" o:hralign="center" o:hrstd="t" o:hr="t"/>
        </w:pict>
      </w:r>
    </w:p>
    <w:bookmarkEnd w:id="10"/>
    <w:bookmarkStart w:id="11" w:name="current-full-year-guidance"/>
    <w:p>
      <w:pPr>
        <w:pStyle w:val="Heading2"/>
      </w:pPr>
      <w:r>
        <w:t xml:space="preserve">Current full-year guidance</w:t>
      </w:r>
    </w:p>
    <w:p>
      <w:pPr>
        <w:pStyle w:val="FirstParagraph"/>
      </w:pPr>
      <w:r>
        <w:t xml:space="preserve">Following Q1, Verizon guided to:</w:t>
      </w:r>
    </w:p>
    <w:p>
      <w:pPr>
        <w:pStyle w:val="Compact"/>
        <w:numPr>
          <w:ilvl w:val="0"/>
          <w:numId w:val="1002"/>
        </w:numPr>
      </w:pPr>
      <w:r>
        <w:rPr>
          <w:b/>
          <w:bCs/>
        </w:rPr>
        <w:t xml:space="preserve">Mobility and broadband service revenue growth:</w:t>
      </w:r>
      <w:r>
        <w:t xml:space="preserve"> </w:t>
      </w:r>
      <w:r>
        <w:t xml:space="preserve">2%-3%</w:t>
      </w:r>
    </w:p>
    <w:p>
      <w:pPr>
        <w:pStyle w:val="Compact"/>
        <w:numPr>
          <w:ilvl w:val="0"/>
          <w:numId w:val="1002"/>
        </w:numPr>
      </w:pPr>
      <w:r>
        <w:rPr>
          <w:b/>
          <w:bCs/>
        </w:rPr>
        <w:t xml:space="preserve">Adjusted EPS growth:</w:t>
      </w:r>
      <w:r>
        <w:t xml:space="preserve"> </w:t>
      </w:r>
      <w:r>
        <w:t xml:space="preserve">5%-6%, raised from 4%-5%</w:t>
      </w:r>
    </w:p>
    <w:p>
      <w:pPr>
        <w:pStyle w:val="Compact"/>
        <w:numPr>
          <w:ilvl w:val="0"/>
          <w:numId w:val="1002"/>
        </w:numPr>
      </w:pPr>
      <w:r>
        <w:rPr>
          <w:b/>
          <w:bCs/>
        </w:rPr>
        <w:t xml:space="preserve">Postpaid phone net additions:</w:t>
      </w:r>
      <w:r>
        <w:t xml:space="preserve"> </w:t>
      </w:r>
      <w:r>
        <w:t xml:space="preserve">Upper half of the existing 750,000-1 million range</w:t>
      </w:r>
    </w:p>
    <w:p>
      <w:pPr>
        <w:pStyle w:val="Compact"/>
        <w:numPr>
          <w:ilvl w:val="0"/>
          <w:numId w:val="1002"/>
        </w:numPr>
      </w:pPr>
      <w:r>
        <w:rPr>
          <w:b/>
          <w:bCs/>
        </w:rPr>
        <w:t xml:space="preserve">Free cash flow:</w:t>
      </w:r>
      <w:r>
        <w:t xml:space="preserve"> </w:t>
      </w:r>
      <w:r>
        <w:t xml:space="preserve">At least approximately</w:t>
      </w:r>
      <w:r>
        <w:t xml:space="preserve"> </w:t>
      </w:r>
      <w:r>
        <w:rPr>
          <w:b/>
          <w:bCs/>
        </w:rPr>
        <w:t xml:space="preserve">$21.5 billion</w:t>
      </w:r>
      <w:r>
        <w:t xml:space="preserve">, or roughly 7% growth</w:t>
      </w:r>
    </w:p>
    <w:p>
      <w:pPr>
        <w:pStyle w:val="Compact"/>
        <w:numPr>
          <w:ilvl w:val="0"/>
          <w:numId w:val="1002"/>
        </w:numPr>
      </w:pPr>
      <w:r>
        <w:rPr>
          <w:b/>
          <w:bCs/>
        </w:rPr>
        <w:t xml:space="preserve">Capital expenditures:</w:t>
      </w:r>
      <w:r>
        <w:t xml:space="preserve"> </w:t>
      </w:r>
      <m:oMath>
        <m:r>
          <m:t>16.0</m:t>
        </m:r>
        <m:r>
          <m:rPr>
            <m:sty m:val="p"/>
          </m:rPr>
          <m:t>−</m:t>
        </m:r>
      </m:oMath>
      <w:r>
        <w:rPr>
          <w:b/>
          <w:bCs/>
        </w:rPr>
        <w:t xml:space="preserve">16.5 billion</w:t>
      </w:r>
    </w:p>
    <w:p>
      <w:pPr>
        <w:pStyle w:val="Compact"/>
        <w:numPr>
          <w:ilvl w:val="0"/>
          <w:numId w:val="1002"/>
        </w:numPr>
      </w:pPr>
      <w:r>
        <w:rPr>
          <w:b/>
          <w:bCs/>
        </w:rPr>
        <w:t xml:space="preserve">Operating-expense savings:</w:t>
      </w:r>
      <w:r>
        <w:t xml:space="preserve"> </w:t>
      </w:r>
      <w:r>
        <w:rPr>
          <w:b/>
          <w:bCs/>
        </w:rPr>
        <w:t xml:space="preserve">$5 billion in 2026</w:t>
      </w:r>
    </w:p>
    <w:p>
      <w:pPr>
        <w:pStyle w:val="Compact"/>
        <w:numPr>
          <w:ilvl w:val="0"/>
          <w:numId w:val="1002"/>
        </w:numPr>
      </w:pPr>
      <w:r>
        <w:rPr>
          <w:b/>
          <w:bCs/>
        </w:rPr>
        <w:t xml:space="preserve">Share repurchases:</w:t>
      </w:r>
      <w:r>
        <w:t xml:space="preserve"> </w:t>
      </w:r>
      <w:r>
        <w:t xml:space="preserve">At least</w:t>
      </w:r>
      <w:r>
        <w:t xml:space="preserve"> </w:t>
      </w:r>
      <w:r>
        <w:rPr>
          <w:b/>
          <w:bCs/>
        </w:rPr>
        <w:t xml:space="preserve">$3 billion</w:t>
      </w:r>
    </w:p>
    <w:p>
      <w:pPr>
        <w:pStyle w:val="Compact"/>
        <w:numPr>
          <w:ilvl w:val="0"/>
          <w:numId w:val="1002"/>
        </w:numPr>
      </w:pPr>
      <w:r>
        <w:rPr>
          <w:b/>
          <w:bCs/>
        </w:rPr>
        <w:t xml:space="preserve">Fiber passings:</w:t>
      </w:r>
      <w:r>
        <w:t xml:space="preserve"> </w:t>
      </w:r>
      <w:r>
        <w:t xml:space="preserve">More than</w:t>
      </w:r>
      <w:r>
        <w:t xml:space="preserve"> </w:t>
      </w:r>
      <w:r>
        <w:rPr>
          <w:b/>
          <w:bCs/>
        </w:rPr>
        <w:t xml:space="preserve">32 million</w:t>
      </w:r>
      <w:r>
        <w:t xml:space="preserve"> </w:t>
      </w:r>
      <w:r>
        <w:t xml:space="preserve">by year-end</w:t>
      </w:r>
    </w:p>
    <w:p>
      <w:pPr>
        <w:pStyle w:val="Compact"/>
        <w:numPr>
          <w:ilvl w:val="0"/>
          <w:numId w:val="1002"/>
        </w:numPr>
      </w:pPr>
      <w:r>
        <w:rPr>
          <w:b/>
          <w:bCs/>
        </w:rPr>
        <w:t xml:space="preserve">Leverage:</w:t>
      </w:r>
      <w:r>
        <w:t xml:space="preserve"> </w:t>
      </w:r>
      <w:r>
        <w:t xml:space="preserve">Return to the 2.0-2.25x target range during 2027</w:t>
      </w:r>
    </w:p>
    <w:p>
      <w:pPr>
        <w:pStyle w:val="FirstParagraph"/>
      </w:pPr>
      <w:r>
        <w:t xml:space="preserve">A second guidance increase would be clearly positive, but it is not necessary for a good report. A clean reaffirmation accompanied by better operating trends should be sufficient. Conversely, any reduction in the phone-add, free-cash-flow or EPS outlook would undermine the emerging turnaround narrative.</w:t>
      </w:r>
    </w:p>
    <w:p>
      <w:r>
        <w:pict>
          <v:rect style="width:0;height:1.5pt" o:hralign="center" o:hrstd="t" o:hr="t"/>
        </w:pict>
      </w:r>
    </w:p>
    <w:bookmarkEnd w:id="11"/>
    <w:bookmarkStart w:id="18" w:name="the-six-issues-that-matter-most"/>
    <w:p>
      <w:pPr>
        <w:pStyle w:val="Heading2"/>
      </w:pPr>
      <w:r>
        <w:t xml:space="preserve">The six issues that matter most</w:t>
      </w:r>
    </w:p>
    <w:bookmarkStart w:id="12" w:name="X13c4ada42719171dc580363537f9eb4fe95902a"/>
    <w:p>
      <w:pPr>
        <w:pStyle w:val="Heading3"/>
      </w:pPr>
      <w:r>
        <w:t xml:space="preserve">1. Wireless subscriber growth and churn</w:t>
      </w:r>
    </w:p>
    <w:p>
      <w:pPr>
        <w:pStyle w:val="FirstParagraph"/>
      </w:pPr>
      <w:r>
        <w:t xml:space="preserve">Q1 was an important proof point:</w:t>
      </w:r>
    </w:p>
    <w:p>
      <w:pPr>
        <w:pStyle w:val="Compact"/>
        <w:numPr>
          <w:ilvl w:val="0"/>
          <w:numId w:val="1003"/>
        </w:numPr>
      </w:pPr>
      <w:r>
        <w:t xml:space="preserve">Verizon added</w:t>
      </w:r>
      <w:r>
        <w:t xml:space="preserve"> </w:t>
      </w:r>
      <w:r>
        <w:rPr>
          <w:b/>
          <w:bCs/>
        </w:rPr>
        <w:t xml:space="preserve">55,000 postpaid phone customers</w:t>
      </w:r>
      <w:r>
        <w:t xml:space="preserve">, its first positive Q1 result in 13 years.</w:t>
      </w:r>
    </w:p>
    <w:p>
      <w:pPr>
        <w:pStyle w:val="Compact"/>
        <w:numPr>
          <w:ilvl w:val="0"/>
          <w:numId w:val="1003"/>
        </w:numPr>
      </w:pPr>
      <w:r>
        <w:t xml:space="preserve">Consumer postpaid phone churn was</w:t>
      </w:r>
      <w:r>
        <w:t xml:space="preserve"> </w:t>
      </w:r>
      <w:r>
        <w:rPr>
          <w:b/>
          <w:bCs/>
        </w:rPr>
        <w:t xml:space="preserve">0.90%</w:t>
      </w:r>
      <w:r>
        <w:t xml:space="preserve"> </w:t>
      </w:r>
      <w:r>
        <w:t xml:space="preserve">for the quarter.</w:t>
      </w:r>
    </w:p>
    <w:p>
      <w:pPr>
        <w:pStyle w:val="Compact"/>
        <w:numPr>
          <w:ilvl w:val="0"/>
          <w:numId w:val="1003"/>
        </w:numPr>
      </w:pPr>
      <w:r>
        <w:t xml:space="preserve">Management said consumer phone churn fell below</w:t>
      </w:r>
      <w:r>
        <w:t xml:space="preserve"> </w:t>
      </w:r>
      <w:r>
        <w:rPr>
          <w:b/>
          <w:bCs/>
        </w:rPr>
        <w:t xml:space="preserve">0.85% in March</w:t>
      </w:r>
      <w:r>
        <w:t xml:space="preserve">.</w:t>
      </w:r>
    </w:p>
    <w:p>
      <w:pPr>
        <w:pStyle w:val="Compact"/>
        <w:numPr>
          <w:ilvl w:val="0"/>
          <w:numId w:val="1003"/>
        </w:numPr>
      </w:pPr>
      <w:r>
        <w:t xml:space="preserve">Acquisition and retention costs in March were approximately</w:t>
      </w:r>
      <w:r>
        <w:t xml:space="preserve"> </w:t>
      </w:r>
      <w:r>
        <w:rPr>
          <w:b/>
          <w:bCs/>
        </w:rPr>
        <w:t xml:space="preserve">35% below late-Q4 levels</w:t>
      </w:r>
      <w:r>
        <w:t xml:space="preserve">.</w:t>
      </w:r>
    </w:p>
    <w:p>
      <w:pPr>
        <w:pStyle w:val="FirstParagraph"/>
      </w:pPr>
      <w:r>
        <w:t xml:space="preserve">The Q2 comparison is favorable: Verizon lost 9,000 postpaid phone subscribers in Q2 2025, including 51,000 consumer losses partly offset by 42,000 business additions.</w:t>
      </w:r>
    </w:p>
    <w:p>
      <w:pPr>
        <w:pStyle w:val="BodyText"/>
      </w:pPr>
      <w:r>
        <w:t xml:space="preserve">Investors should focus on the interaction among four numbers:</w:t>
      </w:r>
    </w:p>
    <w:p>
      <w:pPr>
        <w:pStyle w:val="Compact"/>
        <w:numPr>
          <w:ilvl w:val="0"/>
          <w:numId w:val="1004"/>
        </w:numPr>
      </w:pPr>
      <w:r>
        <w:t xml:space="preserve">Consumer phone net additions</w:t>
      </w:r>
    </w:p>
    <w:p>
      <w:pPr>
        <w:pStyle w:val="Compact"/>
        <w:numPr>
          <w:ilvl w:val="0"/>
          <w:numId w:val="1004"/>
        </w:numPr>
      </w:pPr>
      <w:r>
        <w:t xml:space="preserve">Total phone net additions</w:t>
      </w:r>
    </w:p>
    <w:p>
      <w:pPr>
        <w:pStyle w:val="Compact"/>
        <w:numPr>
          <w:ilvl w:val="0"/>
          <w:numId w:val="1004"/>
        </w:numPr>
      </w:pPr>
      <w:r>
        <w:t xml:space="preserve">Consumer phone churn</w:t>
      </w:r>
    </w:p>
    <w:p>
      <w:pPr>
        <w:pStyle w:val="Compact"/>
        <w:numPr>
          <w:ilvl w:val="0"/>
          <w:numId w:val="1004"/>
        </w:numPr>
      </w:pPr>
      <w:r>
        <w:t xml:space="preserve">Gross additions/new-to-Verizon customer mix</w:t>
      </w:r>
    </w:p>
    <w:p>
      <w:pPr>
        <w:pStyle w:val="FirstParagraph"/>
      </w:pPr>
      <w:r>
        <w:rPr>
          <w:b/>
          <w:bCs/>
        </w:rPr>
        <w:t xml:space="preserve">Best outcome:</w:t>
      </w:r>
      <w:r>
        <w:t xml:space="preserve"> </w:t>
      </w:r>
      <w:r>
        <w:t xml:space="preserve">Positive consumer and total phone additions, with churn at or below the prior-year 0.90% consumer level, achieved without a material increase in promotional spending.</w:t>
      </w:r>
    </w:p>
    <w:p>
      <w:pPr>
        <w:pStyle w:val="BodyText"/>
      </w:pPr>
      <w:r>
        <w:rPr>
          <w:b/>
          <w:bCs/>
        </w:rPr>
        <w:t xml:space="preserve">Warning sign:</w:t>
      </w:r>
      <w:r>
        <w:t xml:space="preserve"> </w:t>
      </w:r>
      <w:r>
        <w:t xml:space="preserve">Good net additions produced primarily by aggressive device subsidies. That would weaken management’s argument that the improvement is structural and driven by customer experience, segmentation and lower churn.</w:t>
      </w:r>
    </w:p>
    <w:p>
      <w:pPr>
        <w:pStyle w:val="BodyText"/>
      </w:pPr>
      <w:r>
        <w:t xml:space="preserve">Verizon has said that more than half of the expected improvement in net additions could come from retention rather than higher acquisition spending. Q2 should provide the first meaningful test of that claim.</w:t>
      </w:r>
    </w:p>
    <w:p>
      <w:r>
        <w:pict>
          <v:rect style="width:0;height:1.5pt" o:hralign="center" o:hrstd="t" o:hr="t"/>
        </w:pict>
      </w:r>
    </w:p>
    <w:bookmarkEnd w:id="12"/>
    <w:bookmarkStart w:id="13" w:name="Xc58a387008fc27130244e483795fcf2e040904a"/>
    <w:p>
      <w:pPr>
        <w:pStyle w:val="Heading3"/>
      </w:pPr>
      <w:r>
        <w:t xml:space="preserve">2. The promised service-revenue acceleration</w:t>
      </w:r>
    </w:p>
    <w:p>
      <w:pPr>
        <w:pStyle w:val="FirstParagraph"/>
      </w:pPr>
      <w:r>
        <w:t xml:space="preserve">Q1 mobility and broadband service revenue grew</w:t>
      </w:r>
      <w:r>
        <w:t xml:space="preserve"> </w:t>
      </w:r>
      <w:r>
        <w:rPr>
          <w:b/>
          <w:bCs/>
        </w:rPr>
        <w:t xml:space="preserve">1.6%</w:t>
      </w:r>
      <w:r>
        <w:t xml:space="preserve">, below the full-year 2%-3% target. Management attributed approximately 80 basis points of pressure to credits and other effects from January’s network outage, implying underlying growth closer to the annual range.</w:t>
      </w:r>
    </w:p>
    <w:p>
      <w:pPr>
        <w:pStyle w:val="BodyText"/>
      </w:pPr>
      <w:r>
        <w:t xml:space="preserve">Management also characterized Q1 as the low point of the year and said March growth had returned to the middle of the guided range.</w:t>
      </w:r>
    </w:p>
    <w:p>
      <w:pPr>
        <w:pStyle w:val="BodyText"/>
      </w:pPr>
      <w:r>
        <w:t xml:space="preserve">That makes Q2 service revenue one of the report’s most important metrics. Investors should look for:</w:t>
      </w:r>
    </w:p>
    <w:p>
      <w:pPr>
        <w:pStyle w:val="Compact"/>
        <w:numPr>
          <w:ilvl w:val="0"/>
          <w:numId w:val="1005"/>
        </w:numPr>
      </w:pPr>
      <w:r>
        <w:t xml:space="preserve">A visible acceleration from Q1’s reported 1.6%</w:t>
      </w:r>
    </w:p>
    <w:p>
      <w:pPr>
        <w:pStyle w:val="Compact"/>
        <w:numPr>
          <w:ilvl w:val="0"/>
          <w:numId w:val="1005"/>
        </w:numPr>
      </w:pPr>
      <w:r>
        <w:t xml:space="preserve">Improvement in consumer wireless service revenue</w:t>
      </w:r>
    </w:p>
    <w:p>
      <w:pPr>
        <w:pStyle w:val="Compact"/>
        <w:numPr>
          <w:ilvl w:val="0"/>
          <w:numId w:val="1005"/>
        </w:numPr>
      </w:pPr>
      <w:r>
        <w:t xml:space="preserve">Stabilization or improvement in postpaid ARPA</w:t>
      </w:r>
    </w:p>
    <w:p>
      <w:pPr>
        <w:pStyle w:val="Compact"/>
        <w:numPr>
          <w:ilvl w:val="0"/>
          <w:numId w:val="1005"/>
        </w:numPr>
      </w:pPr>
      <w:r>
        <w:t xml:space="preserve">Continued premium-plan and perks adoption</w:t>
      </w:r>
    </w:p>
    <w:p>
      <w:pPr>
        <w:pStyle w:val="Compact"/>
        <w:numPr>
          <w:ilvl w:val="0"/>
          <w:numId w:val="1005"/>
        </w:numPr>
      </w:pPr>
      <w:r>
        <w:t xml:space="preserve">Reduced drag from promotional-credit amortization</w:t>
      </w:r>
    </w:p>
    <w:p>
      <w:pPr>
        <w:pStyle w:val="FirstParagraph"/>
      </w:pPr>
      <w:r>
        <w:t xml:space="preserve">The revenue mix deserves more attention than headline revenue. Frontier and equipment sales can make total revenue comparisons difficult to interpret.</w:t>
      </w:r>
      <w:r>
        <w:t xml:space="preserve"> </w:t>
      </w:r>
      <w:r>
        <w:rPr>
          <w:b/>
          <w:bCs/>
        </w:rPr>
        <w:t xml:space="preserve">Recurring mobility and broadband service revenue is the cleaner measure of underlying health.</w:t>
      </w:r>
    </w:p>
    <w:p>
      <w:pPr>
        <w:pStyle w:val="BodyText"/>
      </w:pPr>
      <w:r>
        <w:t xml:space="preserve">A result near or above 2% would support management’s forecast. Another quarter materially below 2% would make the full-year target more back-end-loaded and reduce confidence in the turnaround.</w:t>
      </w:r>
    </w:p>
    <w:p>
      <w:r>
        <w:pict>
          <v:rect style="width:0;height:1.5pt" o:hralign="center" o:hrstd="t" o:hr="t"/>
        </w:pict>
      </w:r>
    </w:p>
    <w:bookmarkEnd w:id="13"/>
    <w:bookmarkStart w:id="14" w:name="X5b3f2eb5c761b16edfeae4799d0cdf2a74fbe6a"/>
    <w:p>
      <w:pPr>
        <w:pStyle w:val="Heading3"/>
      </w:pPr>
      <w:r>
        <w:t xml:space="preserve">3. Cost savings, EBITDA and the quality of the EPS beat</w:t>
      </w:r>
    </w:p>
    <w:p>
      <w:pPr>
        <w:pStyle w:val="FirstParagraph"/>
      </w:pPr>
      <w:r>
        <w:t xml:space="preserve">The strongest part of Q1 was profitability:</w:t>
      </w:r>
    </w:p>
    <w:p>
      <w:pPr>
        <w:pStyle w:val="Compact"/>
        <w:numPr>
          <w:ilvl w:val="0"/>
          <w:numId w:val="1006"/>
        </w:numPr>
      </w:pPr>
      <w:r>
        <w:t xml:space="preserve">Adjusted EBITDA rose</w:t>
      </w:r>
      <w:r>
        <w:t xml:space="preserve"> </w:t>
      </w:r>
      <w:r>
        <w:rPr>
          <w:b/>
          <w:bCs/>
        </w:rPr>
        <w:t xml:space="preserve">6.7%</w:t>
      </w:r>
      <w:r>
        <w:t xml:space="preserve"> </w:t>
      </w:r>
      <w:r>
        <w:t xml:space="preserve">to</w:t>
      </w:r>
      <w:r>
        <w:t xml:space="preserve"> </w:t>
      </w:r>
      <w:r>
        <w:rPr>
          <w:b/>
          <w:bCs/>
        </w:rPr>
        <w:t xml:space="preserve">$13.4 billion</w:t>
      </w:r>
      <w:r>
        <w:t xml:space="preserve">.</w:t>
      </w:r>
    </w:p>
    <w:p>
      <w:pPr>
        <w:pStyle w:val="Compact"/>
        <w:numPr>
          <w:ilvl w:val="0"/>
          <w:numId w:val="1006"/>
        </w:numPr>
      </w:pPr>
      <w:r>
        <w:t xml:space="preserve">Adjusted EBITDA margin expanded</w:t>
      </w:r>
      <w:r>
        <w:t xml:space="preserve"> </w:t>
      </w:r>
      <w:r>
        <w:rPr>
          <w:b/>
          <w:bCs/>
        </w:rPr>
        <w:t xml:space="preserve">140 basis points</w:t>
      </w:r>
      <w:r>
        <w:t xml:space="preserve"> </w:t>
      </w:r>
      <w:r>
        <w:t xml:space="preserve">to 38.9%.</w:t>
      </w:r>
    </w:p>
    <w:p>
      <w:pPr>
        <w:pStyle w:val="Compact"/>
        <w:numPr>
          <w:ilvl w:val="0"/>
          <w:numId w:val="1006"/>
        </w:numPr>
      </w:pPr>
      <w:r>
        <w:t xml:space="preserve">Adjusted EPS increased</w:t>
      </w:r>
      <w:r>
        <w:t xml:space="preserve"> </w:t>
      </w:r>
      <w:r>
        <w:rPr>
          <w:b/>
          <w:bCs/>
        </w:rPr>
        <w:t xml:space="preserve">7.6%</w:t>
      </w:r>
      <w:r>
        <w:t xml:space="preserve"> </w:t>
      </w:r>
      <w:r>
        <w:t xml:space="preserve">to $1.28.</w:t>
      </w:r>
    </w:p>
    <w:p>
      <w:pPr>
        <w:pStyle w:val="Compact"/>
        <w:numPr>
          <w:ilvl w:val="0"/>
          <w:numId w:val="1006"/>
        </w:numPr>
      </w:pPr>
      <w:r>
        <w:t xml:space="preserve">Management said it remained on track for</w:t>
      </w:r>
      <w:r>
        <w:t xml:space="preserve"> </w:t>
      </w:r>
      <w:r>
        <w:rPr>
          <w:b/>
          <w:bCs/>
        </w:rPr>
        <w:t xml:space="preserve">$5 billion of 2026 operating-expense savings</w:t>
      </w:r>
      <w:r>
        <w:t xml:space="preserve">.</w:t>
      </w:r>
    </w:p>
    <w:p>
      <w:pPr>
        <w:pStyle w:val="FirstParagraph"/>
      </w:pPr>
      <w:r>
        <w:t xml:space="preserve">Verizon has reduced its workforce substantially and is now transferring 274 corporate-owned retail locations to franchise operators, contributing to approximately 3,000 additional job reductions announced in July. Management has cited savings in advertising, network operations, contractors, real estate, customer service and internal technology.</w:t>
      </w:r>
    </w:p>
    <w:p>
      <w:pPr>
        <w:pStyle w:val="BodyText"/>
      </w:pPr>
      <w:r>
        <w:t xml:space="preserve">Tomorrow, investors need more than a restatement of the $5 billion goal. Useful disclosure would include:</w:t>
      </w:r>
    </w:p>
    <w:p>
      <w:pPr>
        <w:pStyle w:val="Compact"/>
        <w:numPr>
          <w:ilvl w:val="0"/>
          <w:numId w:val="1007"/>
        </w:numPr>
      </w:pPr>
      <w:r>
        <w:t xml:space="preserve">Savings realized through the first half</w:t>
      </w:r>
    </w:p>
    <w:p>
      <w:pPr>
        <w:pStyle w:val="Compact"/>
        <w:numPr>
          <w:ilvl w:val="0"/>
          <w:numId w:val="1007"/>
        </w:numPr>
      </w:pPr>
      <w:r>
        <w:t xml:space="preserve">The expected Q3 and Q4 cadence</w:t>
      </w:r>
    </w:p>
    <w:p>
      <w:pPr>
        <w:pStyle w:val="Compact"/>
        <w:numPr>
          <w:ilvl w:val="0"/>
          <w:numId w:val="1007"/>
        </w:numPr>
      </w:pPr>
      <w:r>
        <w:t xml:space="preserve">The portion retained versus reinvested</w:t>
      </w:r>
    </w:p>
    <w:p>
      <w:pPr>
        <w:pStyle w:val="Compact"/>
        <w:numPr>
          <w:ilvl w:val="0"/>
          <w:numId w:val="1007"/>
        </w:numPr>
      </w:pPr>
      <w:r>
        <w:t xml:space="preserve">Incremental costs associated with store conversions</w:t>
      </w:r>
    </w:p>
    <w:p>
      <w:pPr>
        <w:pStyle w:val="Compact"/>
        <w:numPr>
          <w:ilvl w:val="0"/>
          <w:numId w:val="1007"/>
        </w:numPr>
      </w:pPr>
      <w:r>
        <w:t xml:space="preserve">Whether lower acquisition and retention costs remain sustainable</w:t>
      </w:r>
    </w:p>
    <w:p>
      <w:pPr>
        <w:pStyle w:val="Compact"/>
        <w:numPr>
          <w:ilvl w:val="0"/>
          <w:numId w:val="1007"/>
        </w:numPr>
      </w:pPr>
      <w:r>
        <w:t xml:space="preserve">Specific benefits from AI, automation and network simplification</w:t>
      </w:r>
    </w:p>
    <w:p>
      <w:pPr>
        <w:pStyle w:val="FirstParagraph"/>
      </w:pPr>
      <w:r>
        <w:t xml:space="preserve">A high-quality beat would combine better service revenue with margin expansion. A lower-quality beat would rely heavily on temporary spending cuts, pension items, tax benefits or other below-the-line effects.</w:t>
      </w:r>
    </w:p>
    <w:p>
      <w:r>
        <w:pict>
          <v:rect style="width:0;height:1.5pt" o:hralign="center" o:hrstd="t" o:hr="t"/>
        </w:pict>
      </w:r>
    </w:p>
    <w:bookmarkEnd w:id="14"/>
    <w:bookmarkStart w:id="15" w:name="Xe51ad126fc731287143b176354f96a2eabfa3c3"/>
    <w:p>
      <w:pPr>
        <w:pStyle w:val="Heading3"/>
      </w:pPr>
      <w:r>
        <w:t xml:space="preserve">4. Frontier integration and broadband growth</w:t>
      </w:r>
    </w:p>
    <w:p>
      <w:pPr>
        <w:pStyle w:val="FirstParagraph"/>
      </w:pPr>
      <w:r>
        <w:t xml:space="preserve">Verizon closed the Frontier acquisition on January 20, gaining a much larger fiber footprint and expanding into 31 states and Washington, D.C. Q2 is the first full quarter with Frontier included.</w:t>
      </w:r>
    </w:p>
    <w:p>
      <w:pPr>
        <w:pStyle w:val="BodyText"/>
      </w:pPr>
      <w:r>
        <w:t xml:space="preserve">The strategic case rests on three potential benefits:</w:t>
      </w:r>
    </w:p>
    <w:p>
      <w:pPr>
        <w:pStyle w:val="Compact"/>
        <w:numPr>
          <w:ilvl w:val="0"/>
          <w:numId w:val="1008"/>
        </w:numPr>
      </w:pPr>
      <w:r>
        <w:t xml:space="preserve">Faster fiber-subscriber growth</w:t>
      </w:r>
    </w:p>
    <w:p>
      <w:pPr>
        <w:pStyle w:val="Compact"/>
        <w:numPr>
          <w:ilvl w:val="0"/>
          <w:numId w:val="1008"/>
        </w:numPr>
      </w:pPr>
      <w:r>
        <w:t xml:space="preserve">Mobility-and-broadband cross-selling</w:t>
      </w:r>
    </w:p>
    <w:p>
      <w:pPr>
        <w:pStyle w:val="Compact"/>
        <w:numPr>
          <w:ilvl w:val="0"/>
          <w:numId w:val="1008"/>
        </w:numPr>
      </w:pPr>
      <w:r>
        <w:t xml:space="preserve">At least</w:t>
      </w:r>
      <w:r>
        <w:t xml:space="preserve"> </w:t>
      </w:r>
      <w:r>
        <w:rPr>
          <w:b/>
          <w:bCs/>
        </w:rPr>
        <w:t xml:space="preserve">$1 billion of annualized operating cost synergies by 2028</w:t>
      </w:r>
    </w:p>
    <w:p>
      <w:pPr>
        <w:pStyle w:val="FirstParagraph"/>
      </w:pPr>
      <w:r>
        <w:t xml:space="preserve">Verizon reported</w:t>
      </w:r>
      <w:r>
        <w:t xml:space="preserve"> </w:t>
      </w:r>
      <w:r>
        <w:rPr>
          <w:b/>
          <w:bCs/>
        </w:rPr>
        <w:t xml:space="preserve">341,000 broadband net additions in Q1</w:t>
      </w:r>
      <w:r>
        <w:t xml:space="preserve">, consisting of:</w:t>
      </w:r>
    </w:p>
    <w:p>
      <w:pPr>
        <w:pStyle w:val="Compact"/>
        <w:numPr>
          <w:ilvl w:val="0"/>
          <w:numId w:val="1009"/>
        </w:numPr>
      </w:pPr>
      <w:r>
        <w:t xml:space="preserve">214,000 fixed-wireless additions</w:t>
      </w:r>
    </w:p>
    <w:p>
      <w:pPr>
        <w:pStyle w:val="Compact"/>
        <w:numPr>
          <w:ilvl w:val="0"/>
          <w:numId w:val="1009"/>
        </w:numPr>
      </w:pPr>
      <w:r>
        <w:t xml:space="preserve">127,000 fiber additions</w:t>
      </w:r>
    </w:p>
    <w:p>
      <w:pPr>
        <w:pStyle w:val="FirstParagraph"/>
      </w:pPr>
      <w:r>
        <w:t xml:space="preserve">Management has suggested broadband additions should accelerate and that the mix will gradually move toward fiber where both technologies are available. It has also said wireless churn is almost 30% lower among converged customers.</w:t>
      </w:r>
    </w:p>
    <w:p>
      <w:pPr>
        <w:pStyle w:val="BodyText"/>
      </w:pPr>
      <w:r>
        <w:t xml:space="preserve">Key Q2 questions include:</w:t>
      </w:r>
    </w:p>
    <w:p>
      <w:pPr>
        <w:pStyle w:val="Compact"/>
        <w:numPr>
          <w:ilvl w:val="0"/>
          <w:numId w:val="1010"/>
        </w:numPr>
      </w:pPr>
      <w:r>
        <w:t xml:space="preserve">Does fiber growth remain strong after the initial Frontier consolidation?</w:t>
      </w:r>
    </w:p>
    <w:p>
      <w:pPr>
        <w:pStyle w:val="Compact"/>
        <w:numPr>
          <w:ilvl w:val="0"/>
          <w:numId w:val="1010"/>
        </w:numPr>
      </w:pPr>
      <w:r>
        <w:t xml:space="preserve">Is fixed-wireless growth holding up as fiber receives greater priority?</w:t>
      </w:r>
    </w:p>
    <w:p>
      <w:pPr>
        <w:pStyle w:val="Compact"/>
        <w:numPr>
          <w:ilvl w:val="0"/>
          <w:numId w:val="1010"/>
        </w:numPr>
      </w:pPr>
      <w:r>
        <w:t xml:space="preserve">Is Verizon gaining wireless subscribers in former Frontier markets?</w:t>
      </w:r>
    </w:p>
    <w:p>
      <w:pPr>
        <w:pStyle w:val="Compact"/>
        <w:numPr>
          <w:ilvl w:val="0"/>
          <w:numId w:val="1010"/>
        </w:numPr>
      </w:pPr>
      <w:r>
        <w:t xml:space="preserve">Are integration costs or customer disruptions emerging?</w:t>
      </w:r>
    </w:p>
    <w:p>
      <w:pPr>
        <w:pStyle w:val="Compact"/>
        <w:numPr>
          <w:ilvl w:val="0"/>
          <w:numId w:val="1010"/>
        </w:numPr>
      </w:pPr>
      <w:r>
        <w:t xml:space="preserve">Is the company still confident in at least $1 billion of 2028 synergies?</w:t>
      </w:r>
    </w:p>
    <w:p>
      <w:pPr>
        <w:pStyle w:val="Compact"/>
        <w:numPr>
          <w:ilvl w:val="0"/>
          <w:numId w:val="1010"/>
        </w:numPr>
      </w:pPr>
      <w:r>
        <w:t xml:space="preserve">Does management maintain the medium-term ambition of 40 million-50 million fiber passings?</w:t>
      </w:r>
    </w:p>
    <w:p>
      <w:pPr>
        <w:pStyle w:val="FirstParagraph"/>
      </w:pPr>
      <w:r>
        <w:t xml:space="preserve">Broadband growth should be assessed alongside economics. Rapid fiber expansion is helpful only if penetration, installation costs and converged customer returns support free cash flow.</w:t>
      </w:r>
    </w:p>
    <w:p>
      <w:r>
        <w:pict>
          <v:rect style="width:0;height:1.5pt" o:hralign="center" o:hrstd="t" o:hr="t"/>
        </w:pict>
      </w:r>
    </w:p>
    <w:bookmarkEnd w:id="15"/>
    <w:bookmarkStart w:id="16" w:name="X7f6caa999582056bae8927a2683d7651882fe26"/>
    <w:p>
      <w:pPr>
        <w:pStyle w:val="Heading3"/>
      </w:pPr>
      <w:r>
        <w:t xml:space="preserve">5. Free cash flow, debt reduction and buybacks</w:t>
      </w:r>
    </w:p>
    <w:p>
      <w:pPr>
        <w:pStyle w:val="FirstParagraph"/>
      </w:pPr>
      <w:r>
        <w:t xml:space="preserve">Verizon generated</w:t>
      </w:r>
      <w:r>
        <w:t xml:space="preserve"> </w:t>
      </w:r>
      <w:r>
        <w:rPr>
          <w:b/>
          <w:bCs/>
        </w:rPr>
        <w:t xml:space="preserve">$3.8 billion of free cash flow in Q1</w:t>
      </w:r>
      <w:r>
        <w:t xml:space="preserve">, up 4%, despite approximately $1.1 billion of restructuring-related severance payments. Management expects at least $21.5 billion for the full year, implying a substantial acceleration over the remaining quarters.</w:t>
      </w:r>
    </w:p>
    <w:p>
      <w:pPr>
        <w:pStyle w:val="BodyText"/>
      </w:pPr>
      <w:r>
        <w:t xml:space="preserve">Balance-sheet execution is equally important:</w:t>
      </w:r>
    </w:p>
    <w:p>
      <w:pPr>
        <w:pStyle w:val="Compact"/>
        <w:numPr>
          <w:ilvl w:val="0"/>
          <w:numId w:val="1011"/>
        </w:numPr>
      </w:pPr>
      <w:r>
        <w:t xml:space="preserve">Net unsecured leverage was approximately</w:t>
      </w:r>
      <w:r>
        <w:t xml:space="preserve"> </w:t>
      </w:r>
      <w:r>
        <w:rPr>
          <w:b/>
          <w:bCs/>
        </w:rPr>
        <w:t xml:space="preserve">2.6x</w:t>
      </w:r>
      <w:r>
        <w:t xml:space="preserve"> </w:t>
      </w:r>
      <w:r>
        <w:t xml:space="preserve">at Q1.</w:t>
      </w:r>
    </w:p>
    <w:p>
      <w:pPr>
        <w:pStyle w:val="Compact"/>
        <w:numPr>
          <w:ilvl w:val="0"/>
          <w:numId w:val="1011"/>
        </w:numPr>
      </w:pPr>
      <w:r>
        <w:t xml:space="preserve">Verizon said it had already repaid roughly half of Frontier’s assumed debt.</w:t>
      </w:r>
    </w:p>
    <w:p>
      <w:pPr>
        <w:pStyle w:val="Compact"/>
        <w:numPr>
          <w:ilvl w:val="0"/>
          <w:numId w:val="1011"/>
        </w:numPr>
      </w:pPr>
      <w:r>
        <w:t xml:space="preserve">Management expects to repay substantially all Frontier debt by year-end.</w:t>
      </w:r>
    </w:p>
    <w:p>
      <w:pPr>
        <w:pStyle w:val="Compact"/>
        <w:numPr>
          <w:ilvl w:val="0"/>
          <w:numId w:val="1011"/>
        </w:numPr>
      </w:pPr>
      <w:r>
        <w:t xml:space="preserve">The leverage target remains 2.0-2.25x during 2027.</w:t>
      </w:r>
    </w:p>
    <w:p>
      <w:pPr>
        <w:pStyle w:val="FirstParagraph"/>
      </w:pPr>
      <w:r>
        <w:t xml:space="preserve">Verizon also completed</w:t>
      </w:r>
      <w:r>
        <w:t xml:space="preserve"> </w:t>
      </w:r>
      <w:r>
        <w:rPr>
          <w:b/>
          <w:bCs/>
        </w:rPr>
        <w:t xml:space="preserve">$2.5 billion of share repurchases in Q1</w:t>
      </w:r>
      <w:r>
        <w:t xml:space="preserve">, versus a full-year commitment of at least</w:t>
      </w:r>
      <w:r>
        <w:t xml:space="preserve"> </w:t>
      </w:r>
      <m:oMath>
        <m:r>
          <m:t>3</m:t>
        </m:r>
        <m:r>
          <m:t>b</m:t>
        </m:r>
        <m:r>
          <m:t>i</m:t>
        </m:r>
        <m:r>
          <m:t>l</m:t>
        </m:r>
        <m:r>
          <m:t>l</m:t>
        </m:r>
        <m:r>
          <m:t>i</m:t>
        </m:r>
        <m:r>
          <m:t>o</m:t>
        </m:r>
        <m:r>
          <m:t>n</m:t>
        </m:r>
        <m:r>
          <m:rPr>
            <m:sty m:val="p"/>
          </m:rPr>
          <m:t>.</m:t>
        </m:r>
        <m:r>
          <m:t>T</m:t>
        </m:r>
        <m:r>
          <m:t>h</m:t>
        </m:r>
        <m:r>
          <m:t>o</m:t>
        </m:r>
        <m:r>
          <m:t>s</m:t>
        </m:r>
        <m:r>
          <m:t>e</m:t>
        </m:r>
        <m:r>
          <m:t>s</m:t>
        </m:r>
        <m:r>
          <m:t>h</m:t>
        </m:r>
        <m:r>
          <m:t>a</m:t>
        </m:r>
        <m:r>
          <m:t>r</m:t>
        </m:r>
        <m:r>
          <m:t>e</m:t>
        </m:r>
        <m:r>
          <m:t>s</m:t>
        </m:r>
        <m:r>
          <m:t>w</m:t>
        </m:r>
        <m:r>
          <m:t>e</m:t>
        </m:r>
        <m:r>
          <m:t>r</m:t>
        </m:r>
        <m:r>
          <m:t>e</m:t>
        </m:r>
        <m:r>
          <m:t>r</m:t>
        </m:r>
        <m:r>
          <m:t>e</m:t>
        </m:r>
        <m:r>
          <m:t>p</m:t>
        </m:r>
        <m:r>
          <m:t>u</m:t>
        </m:r>
        <m:r>
          <m:t>r</m:t>
        </m:r>
        <m:r>
          <m:t>c</m:t>
        </m:r>
        <m:r>
          <m:t>h</m:t>
        </m:r>
        <m:r>
          <m:t>a</m:t>
        </m:r>
        <m:r>
          <m:t>s</m:t>
        </m:r>
        <m:r>
          <m:t>e</m:t>
        </m:r>
        <m:r>
          <m:t>d</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t xml:space="preserve">49.25**, above the July 23 closing price.</w:t>
      </w:r>
    </w:p>
    <w:p>
      <w:pPr>
        <w:pStyle w:val="BodyText"/>
      </w:pPr>
      <w:r>
        <w:t xml:space="preserve">Investors should watch for:</w:t>
      </w:r>
    </w:p>
    <w:p>
      <w:pPr>
        <w:pStyle w:val="Compact"/>
        <w:numPr>
          <w:ilvl w:val="0"/>
          <w:numId w:val="1012"/>
        </w:numPr>
      </w:pPr>
      <w:r>
        <w:t xml:space="preserve">First-half free cash flow and working-capital trends</w:t>
      </w:r>
    </w:p>
    <w:p>
      <w:pPr>
        <w:pStyle w:val="Compact"/>
        <w:numPr>
          <w:ilvl w:val="0"/>
          <w:numId w:val="1012"/>
        </w:numPr>
      </w:pPr>
      <w:r>
        <w:t xml:space="preserve">Updated Frontier debt repayment</w:t>
      </w:r>
    </w:p>
    <w:p>
      <w:pPr>
        <w:pStyle w:val="Compact"/>
        <w:numPr>
          <w:ilvl w:val="0"/>
          <w:numId w:val="1012"/>
        </w:numPr>
      </w:pPr>
      <w:r>
        <w:t xml:space="preserve">Whether the $21.5 billion cash-flow target is reaffirmed or raised</w:t>
      </w:r>
    </w:p>
    <w:p>
      <w:pPr>
        <w:pStyle w:val="Compact"/>
        <w:numPr>
          <w:ilvl w:val="0"/>
          <w:numId w:val="1012"/>
        </w:numPr>
      </w:pPr>
      <w:r>
        <w:t xml:space="preserve">Additional Q2 repurchases</w:t>
      </w:r>
    </w:p>
    <w:p>
      <w:pPr>
        <w:pStyle w:val="Compact"/>
        <w:numPr>
          <w:ilvl w:val="0"/>
          <w:numId w:val="1012"/>
        </w:numPr>
      </w:pPr>
      <w:r>
        <w:t xml:space="preserve">Willingness to go materially beyond the $3 billion minimum</w:t>
      </w:r>
    </w:p>
    <w:p>
      <w:pPr>
        <w:pStyle w:val="Compact"/>
        <w:numPr>
          <w:ilvl w:val="0"/>
          <w:numId w:val="1012"/>
        </w:numPr>
      </w:pPr>
      <w:r>
        <w:t xml:space="preserve">Any tension between buybacks, debt reduction and fiber investment</w:t>
      </w:r>
    </w:p>
    <w:p>
      <w:pPr>
        <w:pStyle w:val="FirstParagraph"/>
      </w:pPr>
      <w:r>
        <w:t xml:space="preserve">At the current share price, the annualized $2.83 dividend represents a yield of roughly</w:t>
      </w:r>
      <w:r>
        <w:t xml:space="preserve"> </w:t>
      </w:r>
      <w:r>
        <w:rPr>
          <w:b/>
          <w:bCs/>
        </w:rPr>
        <w:t xml:space="preserve">6.5%</w:t>
      </w:r>
      <w:r>
        <w:t xml:space="preserve">. The sustainability of that income proposition depends more on free cash flow and leverage than on quarterly EPS.</w:t>
      </w:r>
    </w:p>
    <w:p>
      <w:r>
        <w:pict>
          <v:rect style="width:0;height:1.5pt" o:hralign="center" o:hrstd="t" o:hr="t"/>
        </w:pict>
      </w:r>
    </w:p>
    <w:bookmarkEnd w:id="16"/>
    <w:bookmarkStart w:id="17" w:name="Xd85fb39ef336916322f1a3ab8d42c1a828c723c"/>
    <w:p>
      <w:pPr>
        <w:pStyle w:val="Heading3"/>
      </w:pPr>
      <w:r>
        <w:t xml:space="preserve">6. Satellite competition and the longer-term network debate</w:t>
      </w:r>
    </w:p>
    <w:p>
      <w:pPr>
        <w:pStyle w:val="FirstParagraph"/>
      </w:pPr>
      <w:r>
        <w:t xml:space="preserve">Concern about direct-to-device satellite connectivity, particularly from SpaceX, has recently weighed on the telecom sector.</w:t>
      </w:r>
    </w:p>
    <w:p>
      <w:pPr>
        <w:pStyle w:val="BodyText"/>
      </w:pPr>
      <w:r>
        <w:t xml:space="preserve">This is unlikely to be a meaningful Q2 financial issue, but management commentary could influence investor perception. Relevant questions include:</w:t>
      </w:r>
    </w:p>
    <w:p>
      <w:pPr>
        <w:pStyle w:val="Compact"/>
        <w:numPr>
          <w:ilvl w:val="0"/>
          <w:numId w:val="1013"/>
        </w:numPr>
      </w:pPr>
      <w:r>
        <w:t xml:space="preserve">Does Verizon view satellite service primarily as complementary coverage or as a substitute for terrestrial wireless?</w:t>
      </w:r>
    </w:p>
    <w:p>
      <w:pPr>
        <w:pStyle w:val="Compact"/>
        <w:numPr>
          <w:ilvl w:val="0"/>
          <w:numId w:val="1013"/>
        </w:numPr>
      </w:pPr>
      <w:r>
        <w:t xml:space="preserve">Could direct-to-device offerings pressure rural churn or pricing?</w:t>
      </w:r>
    </w:p>
    <w:p>
      <w:pPr>
        <w:pStyle w:val="Compact"/>
        <w:numPr>
          <w:ilvl w:val="0"/>
          <w:numId w:val="1013"/>
        </w:numPr>
      </w:pPr>
      <w:r>
        <w:t xml:space="preserve">Does Verizon need incremental spectrum or partnership spending?</w:t>
      </w:r>
    </w:p>
    <w:p>
      <w:pPr>
        <w:pStyle w:val="Compact"/>
        <w:numPr>
          <w:ilvl w:val="0"/>
          <w:numId w:val="1013"/>
        </w:numPr>
      </w:pPr>
      <w:r>
        <w:t xml:space="preserve">How does its fiber and wireless network strategy respond to the threat?</w:t>
      </w:r>
    </w:p>
    <w:p>
      <w:pPr>
        <w:pStyle w:val="FirstParagraph"/>
      </w:pPr>
      <w:r>
        <w:t xml:space="preserve">The strongest response would emphasize satellite’s current capacity and use-case limitations while explaining how Verizon can integrate satellite coverage into its own customer proposition. Dismissing the issue without discussing product and network strategy would be less reassuring.</w:t>
      </w:r>
    </w:p>
    <w:p>
      <w:r>
        <w:pict>
          <v:rect style="width:0;height:1.5pt" o:hralign="center" o:hrstd="t" o:hr="t"/>
        </w:pict>
      </w:r>
    </w:p>
    <w:bookmarkEnd w:id="17"/>
    <w:bookmarkEnd w:id="18"/>
    <w:bookmarkStart w:id="19" w:name="suggested-investor-scorecard"/>
    <w:p>
      <w:pPr>
        <w:pStyle w:val="Heading2"/>
      </w:pPr>
      <w:r>
        <w:t xml:space="preserve">Suggested investor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Constructive result</w:t>
            </w:r>
          </w:p>
        </w:tc>
        <w:tc>
          <w:tcPr/>
          <w:p>
            <w:pPr>
              <w:pStyle w:val="Compact"/>
            </w:pPr>
            <w:r>
              <w:t xml:space="preserve">Concerning result</w:t>
            </w:r>
          </w:p>
        </w:tc>
      </w:tr>
      <w:tr>
        <w:tc>
          <w:tcPr/>
          <w:p>
            <w:pPr>
              <w:pStyle w:val="Compact"/>
            </w:pPr>
            <w:r>
              <w:t xml:space="preserve">Postpaid phones</w:t>
            </w:r>
          </w:p>
        </w:tc>
        <w:tc>
          <w:tcPr/>
          <w:p>
            <w:pPr>
              <w:pStyle w:val="Compact"/>
            </w:pPr>
            <w:r>
              <w:t xml:space="preserve">Positive total and consumer additions</w:t>
            </w:r>
          </w:p>
        </w:tc>
        <w:tc>
          <w:tcPr/>
          <w:p>
            <w:pPr>
              <w:pStyle w:val="Compact"/>
            </w:pPr>
            <w:r>
              <w:t xml:space="preserve">Consumer losses or promotion-driven growth</w:t>
            </w:r>
          </w:p>
        </w:tc>
      </w:tr>
      <w:tr>
        <w:tc>
          <w:tcPr/>
          <w:p>
            <w:pPr>
              <w:pStyle w:val="Compact"/>
            </w:pPr>
            <w:r>
              <w:t xml:space="preserve">Consumer phone churn</w:t>
            </w:r>
          </w:p>
        </w:tc>
        <w:tc>
          <w:tcPr/>
          <w:p>
            <w:pPr>
              <w:pStyle w:val="Compact"/>
            </w:pPr>
            <w:r>
              <w:t xml:space="preserve">At or below 0.90%, ideally near Q1’s March exit rate</w:t>
            </w:r>
          </w:p>
        </w:tc>
        <w:tc>
          <w:tcPr/>
          <w:p>
            <w:pPr>
              <w:pStyle w:val="Compact"/>
            </w:pPr>
            <w:r>
              <w:t xml:space="preserve">Material reversal above prior-year levels</w:t>
            </w:r>
          </w:p>
        </w:tc>
      </w:tr>
      <w:tr>
        <w:tc>
          <w:tcPr/>
          <w:p>
            <w:pPr>
              <w:pStyle w:val="Compact"/>
            </w:pPr>
            <w:r>
              <w:t xml:space="preserve">Service revenue</w:t>
            </w:r>
          </w:p>
        </w:tc>
        <w:tc>
          <w:tcPr/>
          <w:p>
            <w:pPr>
              <w:pStyle w:val="Compact"/>
            </w:pPr>
            <w:r>
              <w:t xml:space="preserve">Clear acceleration toward or into the 2%-3% range</w:t>
            </w:r>
          </w:p>
        </w:tc>
        <w:tc>
          <w:tcPr/>
          <w:p>
            <w:pPr>
              <w:pStyle w:val="Compact"/>
            </w:pPr>
            <w:r>
              <w:t xml:space="preserve">Another quarter materially below 2%</w:t>
            </w:r>
          </w:p>
        </w:tc>
      </w:tr>
      <w:tr>
        <w:tc>
          <w:tcPr/>
          <w:p>
            <w:pPr>
              <w:pStyle w:val="Compact"/>
            </w:pPr>
            <w:r>
              <w:t xml:space="preserve">EBITDA</w:t>
            </w:r>
          </w:p>
        </w:tc>
        <w:tc>
          <w:tcPr/>
          <w:p>
            <w:pPr>
              <w:pStyle w:val="Compact"/>
            </w:pPr>
            <w:r>
              <w:t xml:space="preserve">Growth comfortably ahead of revenue</w:t>
            </w:r>
          </w:p>
        </w:tc>
        <w:tc>
          <w:tcPr/>
          <w:p>
            <w:pPr>
              <w:pStyle w:val="Compact"/>
            </w:pPr>
            <w:r>
              <w:t xml:space="preserve">Margin pressure despite workforce reductions</w:t>
            </w:r>
          </w:p>
        </w:tc>
      </w:tr>
      <w:tr>
        <w:tc>
          <w:tcPr/>
          <w:p>
            <w:pPr>
              <w:pStyle w:val="Compact"/>
            </w:pPr>
            <w:r>
              <w:t xml:space="preserve">Broadband</w:t>
            </w:r>
          </w:p>
        </w:tc>
        <w:tc>
          <w:tcPr/>
          <w:p>
            <w:pPr>
              <w:pStyle w:val="Compact"/>
            </w:pPr>
            <w:r>
              <w:t xml:space="preserve">Strong fiber growth with stable total additions</w:t>
            </w:r>
          </w:p>
        </w:tc>
        <w:tc>
          <w:tcPr/>
          <w:p>
            <w:pPr>
              <w:pStyle w:val="Compact"/>
            </w:pPr>
            <w:r>
              <w:t xml:space="preserve">Frontier integration disruption or sharp FWA deterioration</w:t>
            </w:r>
          </w:p>
        </w:tc>
      </w:tr>
      <w:tr>
        <w:tc>
          <w:tcPr/>
          <w:p>
            <w:pPr>
              <w:pStyle w:val="Compact"/>
            </w:pPr>
            <w:r>
              <w:t xml:space="preserve">Free cash flow</w:t>
            </w:r>
          </w:p>
        </w:tc>
        <w:tc>
          <w:tcPr/>
          <w:p>
            <w:pPr>
              <w:pStyle w:val="Compact"/>
            </w:pPr>
            <w:r>
              <w:t xml:space="preserve">On pace for at least $21.5B</w:t>
            </w:r>
          </w:p>
        </w:tc>
        <w:tc>
          <w:tcPr/>
          <w:p>
            <w:pPr>
              <w:pStyle w:val="Compact"/>
            </w:pPr>
            <w:r>
              <w:t xml:space="preserve">Greater second-half dependence or working-capital weakness</w:t>
            </w:r>
          </w:p>
        </w:tc>
      </w:tr>
      <w:tr>
        <w:tc>
          <w:tcPr/>
          <w:p>
            <w:pPr>
              <w:pStyle w:val="Compact"/>
            </w:pPr>
            <w:r>
              <w:t xml:space="preserve">Leverage</w:t>
            </w:r>
          </w:p>
        </w:tc>
        <w:tc>
          <w:tcPr/>
          <w:p>
            <w:pPr>
              <w:pStyle w:val="Compact"/>
            </w:pPr>
            <w:r>
              <w:t xml:space="preserve">Continued Frontier debt repayment</w:t>
            </w:r>
          </w:p>
        </w:tc>
        <w:tc>
          <w:tcPr/>
          <w:p>
            <w:pPr>
              <w:pStyle w:val="Compact"/>
            </w:pPr>
            <w:r>
              <w:t xml:space="preserve">Delayed deleveraging</w:t>
            </w:r>
          </w:p>
        </w:tc>
      </w:tr>
      <w:tr>
        <w:tc>
          <w:tcPr/>
          <w:p>
            <w:pPr>
              <w:pStyle w:val="Compact"/>
            </w:pPr>
            <w:r>
              <w:t xml:space="preserve">Guidance</w:t>
            </w:r>
          </w:p>
        </w:tc>
        <w:tc>
          <w:tcPr/>
          <w:p>
            <w:pPr>
              <w:pStyle w:val="Compact"/>
            </w:pPr>
            <w:r>
              <w:t xml:space="preserve">Reaffirmed with improved confidence or raised</w:t>
            </w:r>
          </w:p>
        </w:tc>
        <w:tc>
          <w:tcPr/>
          <w:p>
            <w:pPr>
              <w:pStyle w:val="Compact"/>
            </w:pPr>
            <w:r>
              <w:t xml:space="preserve">Any cut to EPS, cash flow or phone additions</w:t>
            </w:r>
          </w:p>
        </w:tc>
      </w:tr>
      <w:tr>
        <w:tc>
          <w:tcPr/>
          <w:p>
            <w:pPr>
              <w:pStyle w:val="Compact"/>
            </w:pPr>
            <w:r>
              <w:t xml:space="preserve">Buybacks</w:t>
            </w:r>
          </w:p>
        </w:tc>
        <w:tc>
          <w:tcPr/>
          <w:p>
            <w:pPr>
              <w:pStyle w:val="Compact"/>
            </w:pPr>
            <w:r>
              <w:t xml:space="preserve">Additional purchases without weakening debt targets</w:t>
            </w:r>
          </w:p>
        </w:tc>
        <w:tc>
          <w:tcPr/>
          <w:p>
            <w:pPr>
              <w:pStyle w:val="Compact"/>
            </w:pPr>
            <w:r>
              <w:t xml:space="preserve">Buybacks paused because cash generation disappoints</w:t>
            </w:r>
          </w:p>
        </w:tc>
      </w:tr>
    </w:tbl>
    <w:p>
      <w:r>
        <w:pict>
          <v:rect style="width:0;height:1.5pt" o:hralign="center" o:hrstd="t" o:hr="t"/>
        </w:pict>
      </w:r>
    </w:p>
    <w:bookmarkEnd w:id="19"/>
    <w:bookmarkStart w:id="23" w:name="potential-stock-reactions"/>
    <w:p>
      <w:pPr>
        <w:pStyle w:val="Heading2"/>
      </w:pPr>
      <w:r>
        <w:t xml:space="preserve">Potential stock reactions</w:t>
      </w:r>
    </w:p>
    <w:bookmarkStart w:id="20" w:name="bull-case"/>
    <w:p>
      <w:pPr>
        <w:pStyle w:val="Heading3"/>
      </w:pPr>
      <w:r>
        <w:t xml:space="preserve">Bull case</w:t>
      </w:r>
    </w:p>
    <w:p>
      <w:pPr>
        <w:pStyle w:val="Compact"/>
        <w:numPr>
          <w:ilvl w:val="0"/>
          <w:numId w:val="1014"/>
        </w:numPr>
      </w:pPr>
      <w:r>
        <w:t xml:space="preserve">Adjusted EPS exceeds consensus.</w:t>
      </w:r>
    </w:p>
    <w:p>
      <w:pPr>
        <w:pStyle w:val="Compact"/>
        <w:numPr>
          <w:ilvl w:val="0"/>
          <w:numId w:val="1014"/>
        </w:numPr>
      </w:pPr>
      <w:r>
        <w:t xml:space="preserve">Service revenue accelerates into the guided range.</w:t>
      </w:r>
    </w:p>
    <w:p>
      <w:pPr>
        <w:pStyle w:val="Compact"/>
        <w:numPr>
          <w:ilvl w:val="0"/>
          <w:numId w:val="1014"/>
        </w:numPr>
      </w:pPr>
      <w:r>
        <w:t xml:space="preserve">Positive consumer phone additions are paired with churn near or below 0.90%.</w:t>
      </w:r>
    </w:p>
    <w:p>
      <w:pPr>
        <w:pStyle w:val="Compact"/>
        <w:numPr>
          <w:ilvl w:val="0"/>
          <w:numId w:val="1014"/>
        </w:numPr>
      </w:pPr>
      <w:r>
        <w:t xml:space="preserve">EBITDA growth remains strong despite Frontier costs.</w:t>
      </w:r>
    </w:p>
    <w:p>
      <w:pPr>
        <w:pStyle w:val="Compact"/>
        <w:numPr>
          <w:ilvl w:val="0"/>
          <w:numId w:val="1014"/>
        </w:numPr>
      </w:pPr>
      <w:r>
        <w:t xml:space="preserve">Management raises EPS, free-cash-flow or subscriber guidance.</w:t>
      </w:r>
    </w:p>
    <w:p>
      <w:pPr>
        <w:pStyle w:val="Compact"/>
        <w:numPr>
          <w:ilvl w:val="0"/>
          <w:numId w:val="1014"/>
        </w:numPr>
      </w:pPr>
      <w:r>
        <w:t xml:space="preserve">Additional buybacks are announced without changing the leverage timeline.</w:t>
      </w:r>
    </w:p>
    <w:p>
      <w:pPr>
        <w:pStyle w:val="FirstParagraph"/>
      </w:pPr>
      <w:r>
        <w:t xml:space="preserve">This would reinforce the view that Verizon’s earnings growth is becoming less dependent on price increases and more dependent on retention, operating efficiency and convergence.</w:t>
      </w:r>
    </w:p>
    <w:bookmarkEnd w:id="20"/>
    <w:bookmarkStart w:id="21" w:name="base-case"/>
    <w:p>
      <w:pPr>
        <w:pStyle w:val="Heading3"/>
      </w:pPr>
      <w:r>
        <w:t xml:space="preserve">Base case</w:t>
      </w:r>
    </w:p>
    <w:p>
      <w:pPr>
        <w:pStyle w:val="Compact"/>
        <w:numPr>
          <w:ilvl w:val="0"/>
          <w:numId w:val="1015"/>
        </w:numPr>
      </w:pPr>
      <w:r>
        <w:t xml:space="preserve">Revenue and EPS are near consensus.</w:t>
      </w:r>
    </w:p>
    <w:p>
      <w:pPr>
        <w:pStyle w:val="Compact"/>
        <w:numPr>
          <w:ilvl w:val="0"/>
          <w:numId w:val="1015"/>
        </w:numPr>
      </w:pPr>
      <w:r>
        <w:t xml:space="preserve">Phone additions remain positive, though not dramatically so.</w:t>
      </w:r>
    </w:p>
    <w:p>
      <w:pPr>
        <w:pStyle w:val="Compact"/>
        <w:numPr>
          <w:ilvl w:val="0"/>
          <w:numId w:val="1015"/>
        </w:numPr>
      </w:pPr>
      <w:r>
        <w:t xml:space="preserve">Service revenue improves from Q1.</w:t>
      </w:r>
    </w:p>
    <w:p>
      <w:pPr>
        <w:pStyle w:val="Compact"/>
        <w:numPr>
          <w:ilvl w:val="0"/>
          <w:numId w:val="1015"/>
        </w:numPr>
      </w:pPr>
      <w:r>
        <w:t xml:space="preserve">Cost savings offset Frontier-related interest and depreciation.</w:t>
      </w:r>
    </w:p>
    <w:p>
      <w:pPr>
        <w:pStyle w:val="Compact"/>
        <w:numPr>
          <w:ilvl w:val="0"/>
          <w:numId w:val="1015"/>
        </w:numPr>
      </w:pPr>
      <w:r>
        <w:t xml:space="preserve">Guidance is reaffirmed.</w:t>
      </w:r>
    </w:p>
    <w:p>
      <w:pPr>
        <w:pStyle w:val="FirstParagraph"/>
      </w:pPr>
      <w:r>
        <w:t xml:space="preserve">The stock reaction could be modest because much of the operational improvement is now anticipated. Commentary on second-half service revenue and cost savings would likely determine direction.</w:t>
      </w:r>
    </w:p>
    <w:bookmarkEnd w:id="21"/>
    <w:bookmarkStart w:id="22" w:name="bear-case"/>
    <w:p>
      <w:pPr>
        <w:pStyle w:val="Heading3"/>
      </w:pPr>
      <w:r>
        <w:t xml:space="preserve">Bear case</w:t>
      </w:r>
    </w:p>
    <w:p>
      <w:pPr>
        <w:pStyle w:val="Compact"/>
        <w:numPr>
          <w:ilvl w:val="0"/>
          <w:numId w:val="1016"/>
        </w:numPr>
      </w:pPr>
      <w:r>
        <w:t xml:space="preserve">Service-revenue growth remains weak.</w:t>
      </w:r>
    </w:p>
    <w:p>
      <w:pPr>
        <w:pStyle w:val="Compact"/>
        <w:numPr>
          <w:ilvl w:val="0"/>
          <w:numId w:val="1016"/>
        </w:numPr>
      </w:pPr>
      <w:r>
        <w:t xml:space="preserve">Consumer churn rises or phone additions turn negative.</w:t>
      </w:r>
    </w:p>
    <w:p>
      <w:pPr>
        <w:pStyle w:val="Compact"/>
        <w:numPr>
          <w:ilvl w:val="0"/>
          <w:numId w:val="1016"/>
        </w:numPr>
      </w:pPr>
      <w:r>
        <w:t xml:space="preserve">Subscriber growth requires heavier promotional spending.</w:t>
      </w:r>
    </w:p>
    <w:p>
      <w:pPr>
        <w:pStyle w:val="Compact"/>
        <w:numPr>
          <w:ilvl w:val="0"/>
          <w:numId w:val="1016"/>
        </w:numPr>
      </w:pPr>
      <w:r>
        <w:t xml:space="preserve">Frontier integration costs exceed expectations.</w:t>
      </w:r>
    </w:p>
    <w:p>
      <w:pPr>
        <w:pStyle w:val="Compact"/>
        <w:numPr>
          <w:ilvl w:val="0"/>
          <w:numId w:val="1016"/>
        </w:numPr>
      </w:pPr>
      <w:r>
        <w:t xml:space="preserve">Free-cash-flow guidance becomes more back-end-loaded.</w:t>
      </w:r>
    </w:p>
    <w:p>
      <w:pPr>
        <w:pStyle w:val="Compact"/>
        <w:numPr>
          <w:ilvl w:val="0"/>
          <w:numId w:val="1016"/>
        </w:numPr>
      </w:pPr>
      <w:r>
        <w:t xml:space="preserve">Management signals that competitive or satellite-related spending will absorb more of the cost savings.</w:t>
      </w:r>
    </w:p>
    <w:p>
      <w:pPr>
        <w:pStyle w:val="FirstParagraph"/>
      </w:pPr>
      <w:r>
        <w:t xml:space="preserve">This would raise doubts about whether Q1 represented a durable inflection or simply a favorable quarter following aggressive restructuring.</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t xml:space="preserve">The earnings bar is higher than the headline consensus suggests. Investors already expect cost reductions to deliver EPS growth, so the most valuable evidence tomorrow will be</w:t>
      </w:r>
      <w:r>
        <w:t xml:space="preserve"> </w:t>
      </w:r>
      <w:r>
        <w:rPr>
          <w:b/>
          <w:bCs/>
        </w:rPr>
        <w:t xml:space="preserve">operational</w:t>
      </w:r>
      <w:r>
        <w:t xml:space="preserve">:</w:t>
      </w:r>
    </w:p>
    <w:p>
      <w:pPr>
        <w:pStyle w:val="Compact"/>
        <w:numPr>
          <w:ilvl w:val="0"/>
          <w:numId w:val="1017"/>
        </w:numPr>
      </w:pPr>
      <w:r>
        <w:t xml:space="preserve">positive, economically rational phone additions;</w:t>
      </w:r>
    </w:p>
    <w:p>
      <w:pPr>
        <w:pStyle w:val="Compact"/>
        <w:numPr>
          <w:ilvl w:val="0"/>
          <w:numId w:val="1017"/>
        </w:numPr>
      </w:pPr>
      <w:r>
        <w:t xml:space="preserve">sustained churn improvement;</w:t>
      </w:r>
    </w:p>
    <w:p>
      <w:pPr>
        <w:pStyle w:val="Compact"/>
        <w:numPr>
          <w:ilvl w:val="0"/>
          <w:numId w:val="1017"/>
        </w:numPr>
      </w:pPr>
      <w:r>
        <w:t xml:space="preserve">accelerating recurring service revenue;</w:t>
      </w:r>
    </w:p>
    <w:p>
      <w:pPr>
        <w:pStyle w:val="Compact"/>
        <w:numPr>
          <w:ilvl w:val="0"/>
          <w:numId w:val="1017"/>
        </w:numPr>
      </w:pPr>
      <w:r>
        <w:t xml:space="preserve">profitable fiber and broadband growth; and</w:t>
      </w:r>
    </w:p>
    <w:p>
      <w:pPr>
        <w:pStyle w:val="Compact"/>
        <w:numPr>
          <w:ilvl w:val="0"/>
          <w:numId w:val="1017"/>
        </w:numPr>
      </w:pPr>
      <w:r>
        <w:t xml:space="preserve">conversion of savings into cash flow, debt reduction and shareholder returns.</w:t>
      </w:r>
    </w:p>
    <w:p>
      <w:pPr>
        <w:pStyle w:val="FirstParagraph"/>
      </w:pPr>
      <w:r>
        <w:t xml:space="preserve">The cleanest positive report would show that Verizon can simultaneously grow subscribers, reduce promotional spending, expand margins and pay down Frontier debt. If management can demonstrate that combination and reaffirm or improve guidance, the turnaround remains credible. If earnings beat solely because of cost cuts while service revenue and customer trends weaken, the market may look through the headline result.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2026-07-24T00:05:39Z</dcterms:created>
  <dcterms:modified xsi:type="dcterms:W3CDTF">2026-07-24T00:05:39Z</dcterms:modified>
</cp:coreProperties>
</file>

<file path=docProps/custom.xml><?xml version="1.0" encoding="utf-8"?>
<Properties xmlns="http://schemas.openxmlformats.org/officeDocument/2006/custom-properties" xmlns:vt="http://schemas.openxmlformats.org/officeDocument/2006/docPropsVTypes"/>
</file>