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vz-earnings-predictions--2026-07-24"/>
    <w:p>
      <w:pPr>
        <w:pStyle w:val="Heading1"/>
      </w:pPr>
      <w:r>
        <w:t xml:space="preserve">VZ Earnings Predictions — 2026-07-24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VZ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~$1.30 vs. cons $1.28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VZ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Mobility and broadband service-revenue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~2.4% vs. cons 2.3%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VZ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Retail postpaid phone net additions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~325K vs. cons 285K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VZ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~$4.97 midpoint vs. cons $4.97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VZ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Mobility and broadband service-revenue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~2.5% midpoint vs. cons 2.5%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VZ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Retail postpaid phone net-add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~875K midpoint vs. cons 875K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VZ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Free-cash-flow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~$21.5B vs. cons $21.6B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VZ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VZ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+0.8% (FADE)</w:t>
            </w:r>
          </w:p>
        </w:tc>
        <w:tc>
          <w:tcPr/>
          <w:p>
            <w:pPr>
              <w:pStyle w:val="Compact"/>
            </w:pPr>
            <w:r>
              <w:t xml:space="preserve">A ~$1.30 versus</w:t>
            </w:r>
            <w:r>
              <w:t xml:space="preserve"> </w:t>
            </w:r>
            <m:oMath>
              <m:r>
                <m:t>1.28</m:t>
              </m:r>
              <m:r>
                <m:t>E</m:t>
              </m:r>
              <m:r>
                <m:t>P</m:t>
              </m:r>
              <m:r>
                <m:t>S</m:t>
              </m:r>
              <m:r>
                <m:t>b</m:t>
              </m:r>
              <m:r>
                <m:t>e</m:t>
              </m:r>
              <m:r>
                <m:t>a</m:t>
              </m:r>
              <m:r>
                <m:t>t</m:t>
              </m:r>
              <m:r>
                <m:t>a</m:t>
              </m:r>
              <m:r>
                <m:t>n</m:t>
              </m:r>
              <m:r>
                <m:t>d</m:t>
              </m:r>
              <m:r>
                <m:t>s</m:t>
              </m:r>
              <m:r>
                <m:t>t</m:t>
              </m:r>
              <m:r>
                <m:t>r</m:t>
              </m:r>
              <m:r>
                <m:t>o</m:t>
              </m:r>
              <m:r>
                <m:t>n</m:t>
              </m:r>
              <m:r>
                <m:t>g</m:t>
              </m:r>
              <m:r>
                <m:t>e</m:t>
              </m:r>
              <m:r>
                <m:t>r</m:t>
              </m:r>
              <m:r>
                <m:t>o</m:t>
              </m:r>
              <m:r>
                <m:t>p</m:t>
              </m:r>
              <m:r>
                <m:t>e</m:t>
              </m:r>
              <m:r>
                <m:t>r</m:t>
              </m:r>
              <m:r>
                <m:t>a</m:t>
              </m:r>
              <m:r>
                <m:t>t</m:t>
              </m:r>
              <m:r>
                <m:t>i</m:t>
              </m:r>
              <m:r>
                <m:t>n</m:t>
              </m:r>
              <m:r>
                <m:t>g</m:t>
              </m:r>
              <m:r>
                <m:t>K</m:t>
              </m:r>
              <m:r>
                <m:t>P</m:t>
              </m:r>
              <m:r>
                <m:t>I</m:t>
              </m:r>
              <m:r>
                <m:t>s</m:t>
              </m:r>
              <m:r>
                <m:t>s</m:t>
              </m:r>
              <m:r>
                <m:t>h</m:t>
              </m:r>
              <m:r>
                <m:t>o</m:t>
              </m:r>
              <m:r>
                <m:t>u</m:t>
              </m:r>
              <m:r>
                <m:t>l</m:t>
              </m:r>
              <m:r>
                <m:t>d</m:t>
              </m:r>
              <m:r>
                <m:t>s</m:t>
              </m:r>
              <m:r>
                <m:t>u</m:t>
              </m:r>
              <m:r>
                <m:t>p</m:t>
              </m:r>
              <m:r>
                <m:t>p</m:t>
              </m:r>
              <m:r>
                <m:t>o</m:t>
              </m:r>
              <m:r>
                <m:t>r</m:t>
              </m:r>
              <m:r>
                <m:t>t</m:t>
              </m:r>
              <m:r>
                <m:t>a</m:t>
              </m:r>
              <m:r>
                <m:t>n</m:t>
              </m:r>
              <m:r>
                <m:t>i</m:t>
              </m:r>
              <m:r>
                <m:t>n</m:t>
              </m:r>
              <m:r>
                <m:t>i</m:t>
              </m:r>
              <m:r>
                <m:t>t</m:t>
              </m:r>
              <m:r>
                <m:t>i</m:t>
              </m:r>
              <m:r>
                <m:t>a</m:t>
              </m:r>
              <m:r>
                <m:t>l</m:t>
              </m:r>
              <m:r>
                <m:t> </m:t>
              </m:r>
              <m:r>
                <m:t>1.8</m:t>
              </m:r>
            </m:oMath>
            <w:r>
              <w:t xml:space="preserve">4.97 FY2026 EPS guidance versus $4.97 consensus leaves limited out-period estimate upside; the initial reaction should fade toward ~0.8% by day five.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2026-07-24T00:06:10Z</dcterms:created>
  <dcterms:modified xsi:type="dcterms:W3CDTF">2026-07-24T00:06:10Z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