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verizon-vz-2q26-earnings-preview"/>
    <w:p>
      <w:pPr>
        <w:pStyle w:val="Heading1"/>
      </w:pPr>
      <w:r>
        <w:t xml:space="preserve">Verizon (VZ) 2Q26 Earnings Preview</w:t>
      </w:r>
    </w:p>
    <w:p>
      <w:pPr>
        <w:pStyle w:val="FirstParagraph"/>
      </w:pPr>
      <w:r>
        <w:rPr>
          <w:b/>
          <w:bCs/>
        </w:rPr>
        <w:t xml:space="preserve">Event:</w:t>
      </w:r>
      <w:r>
        <w:t xml:space="preserve"> </w:t>
      </w:r>
      <w:r>
        <w:t xml:space="preserve">Friday, July 24, 2026</w:t>
      </w:r>
      <w:r>
        <w:br/>
      </w:r>
      <w:r>
        <w:rPr>
          <w:b/>
          <w:bCs/>
        </w:rPr>
        <w:t xml:space="preserve">Results release:</w:t>
      </w:r>
      <w:r>
        <w:t xml:space="preserve"> </w:t>
      </w:r>
      <w:r>
        <w:t xml:space="preserve">7:00 a.m. ET</w:t>
      </w:r>
      <w:r>
        <w:br/>
      </w:r>
      <w:r>
        <w:rPr>
          <w:b/>
          <w:bCs/>
        </w:rPr>
        <w:t xml:space="preserve">Earnings call:</w:t>
      </w:r>
      <w:r>
        <w:t xml:space="preserve"> </w:t>
      </w:r>
      <w:r>
        <w:t xml:space="preserve">8:30 a.m. ET</w:t>
      </w:r>
      <w:r>
        <w:br/>
      </w:r>
      <w:r>
        <w:t xml:space="preserve">Verizon has scheduled its second-quarter results and webcast for Friday morning. (</w:t>
      </w:r>
      <w:hyperlink r:id="rId9">
        <w:r>
          <w:rPr>
            <w:rStyle w:val="Hyperlink"/>
          </w:rPr>
          <w:t xml:space="preserve">verizon.com</w:t>
        </w:r>
      </w:hyperlink>
      <w:r>
        <w:t xml:space="preserve">)</w:t>
      </w:r>
    </w:p>
    <w:bookmarkStart w:id="10" w:name="Xbed545c23cf2b7629dc6175f3d9d16ec59eb34e"/>
    <w:p>
      <w:pPr>
        <w:pStyle w:val="Heading2"/>
      </w:pPr>
      <w:r>
        <w:t xml:space="preserve">Investment view: the report is a test of whether the Q1 turnaround is repeatable</w:t>
      </w:r>
    </w:p>
    <w:p>
      <w:pPr>
        <w:pStyle w:val="FirstParagraph"/>
      </w:pPr>
      <w:r>
        <w:t xml:space="preserve">Verizon enters 2Q26 with a markedly improved narrative: stronger wireless subscriber trends, lower customer-acquisition and retention costs, expanding profitability, a raised earnings outlook, and an active share-repurchase program. The key question is no longer simply whether Verizon can meet earnings expectations—it is whether Q1 represented the beginning of a durable improvement in customer economics and cash-flow conversion.</w:t>
      </w:r>
    </w:p>
    <w:p>
      <w:pPr>
        <w:pStyle w:val="BodyText"/>
      </w:pPr>
      <w:r>
        <w:t xml:space="preserve">The setup is constructive but not effortless. Management has set a higher bar by calling Q1 the expected</w:t>
      </w:r>
      <w:r>
        <w:t xml:space="preserve"> </w:t>
      </w:r>
      <w:r>
        <w:rPr>
          <w:b/>
          <w:bCs/>
        </w:rPr>
        <w:t xml:space="preserve">low point</w:t>
      </w:r>
      <w:r>
        <w:t xml:space="preserve"> </w:t>
      </w:r>
      <w:r>
        <w:t xml:space="preserve">for mobility and broadband service-revenue growth, raising adjusted-EPS guidance, and targeting the upper half of its postpaid-phone net-add range. Investors will want proof in Q2 that churn is holding down, service-revenue growth is accelerating, and cost actions are not coming at the expense of customer growth.</w:t>
      </w:r>
    </w:p>
    <w:p>
      <w:r>
        <w:pict>
          <v:rect style="width:0;height:1.5pt" o:hralign="center" o:hrstd="t" o:hr="t"/>
        </w:pict>
      </w:r>
    </w:p>
    <w:bookmarkEnd w:id="10"/>
    <w:bookmarkStart w:id="11" w:name="what-the-market-expects"/>
    <w:p>
      <w:pPr>
        <w:pStyle w:val="Heading2"/>
      </w:pPr>
      <w:r>
        <w:t xml:space="preserve">What the market expects</w:t>
      </w:r>
    </w:p>
    <w:p>
      <w:pPr>
        <w:pStyle w:val="FirstParagraph"/>
      </w:pPr>
      <w:r>
        <w:t xml:space="preserve">Published pre-earnings expectations call for:</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expectation</w:t>
            </w:r>
          </w:p>
        </w:tc>
        <w:tc>
          <w:tcPr/>
          <w:p>
            <w:pPr>
              <w:pStyle w:val="Compact"/>
              <w:jc w:val="right"/>
            </w:pPr>
            <w:r>
              <w:t xml:space="preserve">2Q25 comparison</w:t>
            </w:r>
          </w:p>
        </w:tc>
        <w:tc>
          <w:tcPr/>
          <w:p>
            <w:pPr>
              <w:pStyle w:val="Compact"/>
              <w:jc w:val="right"/>
            </w:pPr>
            <w:r>
              <w:t xml:space="preserve">Implied growth</w:t>
            </w:r>
          </w:p>
        </w:tc>
      </w:tr>
      <w:tr>
        <w:tc>
          <w:tcPr/>
          <w:p>
            <w:pPr>
              <w:pStyle w:val="Compact"/>
            </w:pPr>
            <w:r>
              <w:t xml:space="preserve">Adjusted EPS</w:t>
            </w:r>
          </w:p>
        </w:tc>
        <w:tc>
          <w:tcPr/>
          <w:p>
            <w:pPr>
              <w:pStyle w:val="Compact"/>
              <w:jc w:val="right"/>
            </w:pPr>
            <w:r>
              <w:rPr>
                <w:b/>
                <w:bCs/>
              </w:rPr>
              <w:t xml:space="preserve">$1.28</w:t>
            </w:r>
          </w:p>
        </w:tc>
        <w:tc>
          <w:tcPr/>
          <w:p>
            <w:pPr>
              <w:pStyle w:val="Compact"/>
              <w:jc w:val="right"/>
            </w:pPr>
            <w:r>
              <w:t xml:space="preserve">$1.21</w:t>
            </w:r>
          </w:p>
        </w:tc>
        <w:tc>
          <w:tcPr/>
          <w:p>
            <w:pPr>
              <w:pStyle w:val="Compact"/>
              <w:jc w:val="right"/>
            </w:pPr>
            <w:r>
              <w:rPr>
                <w:b/>
                <w:bCs/>
              </w:rPr>
              <w:t xml:space="preserve">~5.8%</w:t>
            </w:r>
          </w:p>
        </w:tc>
      </w:tr>
      <w:tr>
        <w:tc>
          <w:tcPr/>
          <w:p>
            <w:pPr>
              <w:pStyle w:val="Compact"/>
            </w:pPr>
            <w:r>
              <w:t xml:space="preserve">Revenue</w:t>
            </w:r>
          </w:p>
        </w:tc>
        <w:tc>
          <w:tcPr/>
          <w:p>
            <w:pPr>
              <w:pStyle w:val="Compact"/>
              <w:jc w:val="right"/>
            </w:pPr>
            <w:r>
              <w:rPr>
                <w:b/>
                <w:bCs/>
              </w:rPr>
              <w:t xml:space="preserve">$35.2B</w:t>
            </w:r>
          </w:p>
        </w:tc>
        <w:tc>
          <w:tcPr/>
          <w:p>
            <w:pPr>
              <w:pStyle w:val="Compact"/>
              <w:jc w:val="right"/>
            </w:pPr>
            <w:r>
              <w:t xml:space="preserve">$34.5B</w:t>
            </w:r>
          </w:p>
        </w:tc>
        <w:tc>
          <w:tcPr/>
          <w:p>
            <w:pPr>
              <w:pStyle w:val="Compact"/>
              <w:jc w:val="right"/>
            </w:pPr>
            <w:r>
              <w:rPr>
                <w:b/>
                <w:bCs/>
              </w:rPr>
              <w:t xml:space="preserve">~2.0%</w:t>
            </w:r>
          </w:p>
        </w:tc>
      </w:tr>
    </w:tbl>
    <w:p>
      <w:pPr>
        <w:pStyle w:val="BodyText"/>
      </w:pPr>
      <w:r>
        <w:t xml:space="preserve">The headline EPS estimate is essentially in line with Verizon’s</w:t>
      </w:r>
      <w:r>
        <w:t xml:space="preserve"> </w:t>
      </w:r>
      <w:r>
        <w:rPr>
          <w:b/>
          <w:bCs/>
        </w:rPr>
        <w:t xml:space="preserve">$1.28</w:t>
      </w:r>
      <w:r>
        <w:t xml:space="preserve"> </w:t>
      </w:r>
      <w:r>
        <w:t xml:space="preserve">adjusted EPS in 1Q26. Therefore, a simple EPS beat may not be sufficient for a positive stock reaction; the more important issue is likely the quality and sustainability of the underlying operating metrics.</w:t>
      </w:r>
    </w:p>
    <w:p>
      <w:r>
        <w:pict>
          <v:rect style="width:0;height:1.5pt" o:hralign="center" o:hrstd="t" o:hr="t"/>
        </w:pict>
      </w:r>
    </w:p>
    <w:bookmarkEnd w:id="11"/>
    <w:bookmarkStart w:id="18" w:name="the-metrics-that-matter-most"/>
    <w:p>
      <w:pPr>
        <w:pStyle w:val="Heading2"/>
      </w:pPr>
      <w:r>
        <w:t xml:space="preserve">The metrics that matter most</w:t>
      </w:r>
    </w:p>
    <w:bookmarkStart w:id="13" w:name="X9d70bbe51b950967265e08c2c2055e3cd773052"/>
    <w:p>
      <w:pPr>
        <w:pStyle w:val="Heading3"/>
      </w:pPr>
      <w:r>
        <w:t xml:space="preserve">1. Wireless postpaid phone net adds and churn</w:t>
      </w:r>
    </w:p>
    <w:p>
      <w:pPr>
        <w:pStyle w:val="FirstParagraph"/>
      </w:pPr>
      <w:r>
        <w:t xml:space="preserve">This is the central operating KPI.</w:t>
      </w:r>
    </w:p>
    <w:p>
      <w:pPr>
        <w:pStyle w:val="BodyText"/>
      </w:pPr>
      <w:r>
        <w:t xml:space="preserve">In 1Q26, Verizon posted</w:t>
      </w:r>
      <w:r>
        <w:t xml:space="preserve"> </w:t>
      </w:r>
      <w:r>
        <w:rPr>
          <w:b/>
          <w:bCs/>
        </w:rPr>
        <w:t xml:space="preserve">55,000 total retail postpaid phone net additions</w:t>
      </w:r>
      <w:r>
        <w:t xml:space="preserve">, its first positive first-quarter result since 2013. The company attributed the improvement to a better mix of new-to-Verizon additions, lower churn, and a less promotion-heavy commercial strategy. It also raised its 2026 outlook to the</w:t>
      </w:r>
      <w:r>
        <w:t xml:space="preserve"> </w:t>
      </w:r>
      <w:r>
        <w:rPr>
          <w:b/>
          <w:bCs/>
        </w:rPr>
        <w:t xml:space="preserve">upper half of 750,000 to 1.0 million</w:t>
      </w:r>
      <w:r>
        <w:t xml:space="preserve"> </w:t>
      </w:r>
      <w:r>
        <w:t xml:space="preserve">total retail postpaid phone net additions. (</w:t>
      </w:r>
      <w:hyperlink r:id="rId12">
        <w:r>
          <w:rPr>
            <w:rStyle w:val="Hyperlink"/>
          </w:rPr>
          <w:t xml:space="preserve">verizon.com</w:t>
        </w:r>
      </w:hyperlink>
      <w:r>
        <w:t xml:space="preserve">)</w:t>
      </w:r>
    </w:p>
    <w:p>
      <w:pPr>
        <w:pStyle w:val="BodyText"/>
      </w:pPr>
      <w:r>
        <w:t xml:space="preserve">For Q2, investors should focus on:</w:t>
      </w:r>
    </w:p>
    <w:p>
      <w:pPr>
        <w:pStyle w:val="Compact"/>
        <w:numPr>
          <w:ilvl w:val="0"/>
          <w:numId w:val="1001"/>
        </w:numPr>
      </w:pPr>
      <w:r>
        <w:t xml:space="preserve">Whether postpaid phone net adds improve materially from the seasonally weak Q1 result.</w:t>
      </w:r>
    </w:p>
    <w:p>
      <w:pPr>
        <w:pStyle w:val="Compact"/>
        <w:numPr>
          <w:ilvl w:val="0"/>
          <w:numId w:val="1001"/>
        </w:numPr>
      </w:pPr>
      <w:r>
        <w:t xml:space="preserve">Consumer postpaid phone churn versus the</w:t>
      </w:r>
      <w:r>
        <w:t xml:space="preserve"> </w:t>
      </w:r>
      <w:r>
        <w:rPr>
          <w:b/>
          <w:bCs/>
        </w:rPr>
        <w:t xml:space="preserve">0.90%</w:t>
      </w:r>
      <w:r>
        <w:t xml:space="preserve"> </w:t>
      </w:r>
      <w:r>
        <w:t xml:space="preserve">reported in Q1.</w:t>
      </w:r>
    </w:p>
    <w:p>
      <w:pPr>
        <w:pStyle w:val="Compact"/>
        <w:numPr>
          <w:ilvl w:val="0"/>
          <w:numId w:val="1001"/>
        </w:numPr>
      </w:pPr>
      <w:r>
        <w:t xml:space="preserve">Whether management sustains its claim that churn exited March below</w:t>
      </w:r>
      <w:r>
        <w:t xml:space="preserve"> </w:t>
      </w:r>
      <w:r>
        <w:rPr>
          <w:b/>
          <w:bCs/>
        </w:rPr>
        <w:t xml:space="preserve">0.85%</w:t>
      </w:r>
      <w:r>
        <w:t xml:space="preserve">.</w:t>
      </w:r>
    </w:p>
    <w:p>
      <w:pPr>
        <w:pStyle w:val="Compact"/>
        <w:numPr>
          <w:ilvl w:val="0"/>
          <w:numId w:val="1001"/>
        </w:numPr>
      </w:pPr>
      <w:r>
        <w:t xml:space="preserve">The proportion of gross additions that are genuinely new to Verizon rather than low-value switchers.</w:t>
      </w:r>
    </w:p>
    <w:p>
      <w:pPr>
        <w:pStyle w:val="Compact"/>
        <w:numPr>
          <w:ilvl w:val="0"/>
          <w:numId w:val="1001"/>
        </w:numPr>
      </w:pPr>
      <w:r>
        <w:t xml:space="preserve">Whether lower-cost retention tactics are working without creating a future churn problem.</w:t>
      </w:r>
    </w:p>
    <w:p>
      <w:pPr>
        <w:pStyle w:val="FirstParagraph"/>
      </w:pPr>
      <w:r>
        <w:rPr>
          <w:b/>
          <w:bCs/>
        </w:rPr>
        <w:t xml:space="preserve">Read-through:</w:t>
      </w:r>
      <w:r>
        <w:t xml:space="preserve"> </w:t>
      </w:r>
      <w:r>
        <w:t xml:space="preserve">A solid net-add result paired with stable-to-improving churn would validate management’s “better customer economics” thesis. Strong adds bought through materially higher promotion spending would be less convincing.</w:t>
      </w:r>
    </w:p>
    <w:p>
      <w:r>
        <w:pict>
          <v:rect style="width:0;height:1.5pt" o:hralign="center" o:hrstd="t" o:hr="t"/>
        </w:pict>
      </w:r>
    </w:p>
    <w:bookmarkEnd w:id="13"/>
    <w:bookmarkStart w:id="14" w:name="X6ace7187b625fa08f27f989d6aeea4b952a2ac6"/>
    <w:p>
      <w:pPr>
        <w:pStyle w:val="Heading3"/>
      </w:pPr>
      <w:r>
        <w:t xml:space="preserve">2. Mobility and broadband service-revenue acceleration</w:t>
      </w:r>
    </w:p>
    <w:p>
      <w:pPr>
        <w:pStyle w:val="FirstParagraph"/>
      </w:pPr>
      <w:r>
        <w:t xml:space="preserve">Verizon’s full-year objective is</w:t>
      </w:r>
      <w:r>
        <w:t xml:space="preserve"> </w:t>
      </w:r>
      <w:r>
        <w:rPr>
          <w:b/>
          <w:bCs/>
        </w:rPr>
        <w:t xml:space="preserve">2%–3% mobility and broadband service-revenue growth</w:t>
      </w:r>
      <w:r>
        <w:t xml:space="preserve">, while wireless service revenue is expected to be approximately flat during 2026 as it works through promotional amortization and laps prior-year pricing actions. (</w:t>
      </w:r>
      <w:hyperlink r:id="rId12">
        <w:r>
          <w:rPr>
            <w:rStyle w:val="Hyperlink"/>
          </w:rPr>
          <w:t xml:space="preserve">verizon.com</w:t>
        </w:r>
      </w:hyperlink>
      <w:r>
        <w:t xml:space="preserve">)</w:t>
      </w:r>
    </w:p>
    <w:p>
      <w:pPr>
        <w:pStyle w:val="BodyText"/>
      </w:pPr>
      <w:r>
        <w:t xml:space="preserve">In Q1, mobility and broadband service revenue grew</w:t>
      </w:r>
      <w:r>
        <w:t xml:space="preserve"> </w:t>
      </w:r>
      <w:r>
        <w:rPr>
          <w:b/>
          <w:bCs/>
        </w:rPr>
        <w:t xml:space="preserve">1.6%</w:t>
      </w:r>
      <w:r>
        <w:t xml:space="preserve">, held back by an estimated</w:t>
      </w:r>
      <w:r>
        <w:t xml:space="preserve"> </w:t>
      </w:r>
      <w:r>
        <w:rPr>
          <w:b/>
          <w:bCs/>
        </w:rPr>
        <w:t xml:space="preserve">80 basis points</w:t>
      </w:r>
      <w:r>
        <w:t xml:space="preserve"> </w:t>
      </w:r>
      <w:r>
        <w:t xml:space="preserve">from customer credits and other effects tied to the January network outage. Management said March growth had returned to the middle of its annual target range and described Q1 as the low point of the year. (</w:t>
      </w:r>
      <w:hyperlink r:id="rId12">
        <w:r>
          <w:rPr>
            <w:rStyle w:val="Hyperlink"/>
          </w:rPr>
          <w:t xml:space="preserve">verizon.com</w:t>
        </w:r>
      </w:hyperlink>
      <w:r>
        <w:t xml:space="preserve">)</w:t>
      </w:r>
    </w:p>
    <w:p>
      <w:pPr>
        <w:pStyle w:val="BodyText"/>
      </w:pPr>
      <w:r>
        <w:rPr>
          <w:b/>
          <w:bCs/>
        </w:rPr>
        <w:t xml:space="preserve">What investors need to see in Q2:</w:t>
      </w:r>
    </w:p>
    <w:p>
      <w:pPr>
        <w:pStyle w:val="Compact"/>
        <w:numPr>
          <w:ilvl w:val="0"/>
          <w:numId w:val="1002"/>
        </w:numPr>
      </w:pPr>
      <w:r>
        <w:t xml:space="preserve">Growth moving closer to the 2%–3% full-year range.</w:t>
      </w:r>
    </w:p>
    <w:p>
      <w:pPr>
        <w:pStyle w:val="Compact"/>
        <w:numPr>
          <w:ilvl w:val="0"/>
          <w:numId w:val="1002"/>
        </w:numPr>
      </w:pPr>
      <w:r>
        <w:t xml:space="preserve">Evidence that the outage-related headwind has fully cleared.</w:t>
      </w:r>
    </w:p>
    <w:p>
      <w:pPr>
        <w:pStyle w:val="Compact"/>
        <w:numPr>
          <w:ilvl w:val="0"/>
          <w:numId w:val="1002"/>
        </w:numPr>
      </w:pPr>
      <w:r>
        <w:t xml:space="preserve">Better ARPA/ARPU trends after Q1 postpaid-account ARPA declined 1.9% year over year.</w:t>
      </w:r>
    </w:p>
    <w:p>
      <w:pPr>
        <w:pStyle w:val="Compact"/>
        <w:numPr>
          <w:ilvl w:val="0"/>
          <w:numId w:val="1002"/>
        </w:numPr>
      </w:pPr>
      <w:r>
        <w:t xml:space="preserve">Continued adoption of premium plans, perks, prepaid offerings, and converged wireless-plus-broadband bundles.</w:t>
      </w:r>
    </w:p>
    <w:p>
      <w:pPr>
        <w:pStyle w:val="Compact"/>
        <w:numPr>
          <w:ilvl w:val="0"/>
          <w:numId w:val="1002"/>
        </w:numPr>
      </w:pPr>
      <w:r>
        <w:t xml:space="preserve">Reduced drag from handset-promotion amortization.</w:t>
      </w:r>
    </w:p>
    <w:p>
      <w:pPr>
        <w:pStyle w:val="FirstParagraph"/>
      </w:pPr>
      <w:r>
        <w:t xml:space="preserve">A failure to show a sequential improvement in service-revenue growth would be the clearest risk to the turnaround narrative.</w:t>
      </w:r>
    </w:p>
    <w:p>
      <w:r>
        <w:pict>
          <v:rect style="width:0;height:1.5pt" o:hralign="center" o:hrstd="t" o:hr="t"/>
        </w:pict>
      </w:r>
    </w:p>
    <w:bookmarkEnd w:id="14"/>
    <w:bookmarkStart w:id="15" w:name="X21d7055a67e78fdf443fb26b3340a164166156d"/>
    <w:p>
      <w:pPr>
        <w:pStyle w:val="Heading3"/>
      </w:pPr>
      <w:r>
        <w:t xml:space="preserve">3. Broadband: fiber versus fixed wireless access</w:t>
      </w:r>
    </w:p>
    <w:p>
      <w:pPr>
        <w:pStyle w:val="FirstParagraph"/>
      </w:pPr>
      <w:r>
        <w:t xml:space="preserve">Broadband remains Verizon’s most important strategic growth vector and an increasingly important tool for reducing wireless churn.</w:t>
      </w:r>
    </w:p>
    <w:p>
      <w:pPr>
        <w:pStyle w:val="BodyText"/>
      </w:pPr>
      <w:r>
        <w:t xml:space="preserve">Verizon added</w:t>
      </w:r>
      <w:r>
        <w:t xml:space="preserve"> </w:t>
      </w:r>
      <w:r>
        <w:rPr>
          <w:b/>
          <w:bCs/>
        </w:rPr>
        <w:t xml:space="preserve">341,000 broadband subscribers</w:t>
      </w:r>
      <w:r>
        <w:t xml:space="preserve"> </w:t>
      </w:r>
      <w:r>
        <w:t xml:space="preserve">in Q1, comprising</w:t>
      </w:r>
      <w:r>
        <w:t xml:space="preserve"> </w:t>
      </w:r>
      <w:r>
        <w:rPr>
          <w:b/>
          <w:bCs/>
        </w:rPr>
        <w:t xml:space="preserve">214,000 fixed-wireless-access (FWA)</w:t>
      </w:r>
      <w:r>
        <w:t xml:space="preserve"> </w:t>
      </w:r>
      <w:r>
        <w:t xml:space="preserve">additions and</w:t>
      </w:r>
      <w:r>
        <w:t xml:space="preserve"> </w:t>
      </w:r>
      <w:r>
        <w:rPr>
          <w:b/>
          <w:bCs/>
        </w:rPr>
        <w:t xml:space="preserve">127,000 fiber broadband</w:t>
      </w:r>
      <w:r>
        <w:t xml:space="preserve"> </w:t>
      </w:r>
      <w:r>
        <w:t xml:space="preserve">additions. The Frontier acquisition was consolidated beginning January 20, 2026, and management expects to exceed</w:t>
      </w:r>
      <w:r>
        <w:t xml:space="preserve"> </w:t>
      </w:r>
      <w:r>
        <w:rPr>
          <w:b/>
          <w:bCs/>
        </w:rPr>
        <w:t xml:space="preserve">32 million fiber passings</w:t>
      </w:r>
      <w:r>
        <w:t xml:space="preserve"> </w:t>
      </w:r>
      <w:r>
        <w:t xml:space="preserve">by year-end. (</w:t>
      </w:r>
      <w:hyperlink r:id="rId12">
        <w:r>
          <w:rPr>
            <w:rStyle w:val="Hyperlink"/>
          </w:rPr>
          <w:t xml:space="preserve">verizon.com</w:t>
        </w:r>
      </w:hyperlink>
      <w:r>
        <w:t xml:space="preserve">)</w:t>
      </w:r>
    </w:p>
    <w:p>
      <w:pPr>
        <w:pStyle w:val="BodyText"/>
      </w:pPr>
      <w:r>
        <w:t xml:space="preserve">For Q2, watch:</w:t>
      </w:r>
    </w:p>
    <w:p>
      <w:pPr>
        <w:pStyle w:val="Compact"/>
        <w:numPr>
          <w:ilvl w:val="0"/>
          <w:numId w:val="1003"/>
        </w:numPr>
      </w:pPr>
      <w:r>
        <w:t xml:space="preserve">Total broadband net additions.</w:t>
      </w:r>
    </w:p>
    <w:p>
      <w:pPr>
        <w:pStyle w:val="Compact"/>
        <w:numPr>
          <w:ilvl w:val="0"/>
          <w:numId w:val="1003"/>
        </w:numPr>
      </w:pPr>
      <w:r>
        <w:t xml:space="preserve">Fiber additions and the degree of mix shift away from FWA.</w:t>
      </w:r>
    </w:p>
    <w:p>
      <w:pPr>
        <w:pStyle w:val="Compact"/>
        <w:numPr>
          <w:ilvl w:val="0"/>
          <w:numId w:val="1003"/>
        </w:numPr>
      </w:pPr>
      <w:r>
        <w:t xml:space="preserve">Frontier integration progress and cross-selling of wireless into the acquired footprint.</w:t>
      </w:r>
    </w:p>
    <w:p>
      <w:pPr>
        <w:pStyle w:val="Compact"/>
        <w:numPr>
          <w:ilvl w:val="0"/>
          <w:numId w:val="1003"/>
        </w:numPr>
      </w:pPr>
      <w:r>
        <w:t xml:space="preserve">Broadband attachment rates and converged customer economics.</w:t>
      </w:r>
    </w:p>
    <w:p>
      <w:pPr>
        <w:pStyle w:val="Compact"/>
        <w:numPr>
          <w:ilvl w:val="0"/>
          <w:numId w:val="1003"/>
        </w:numPr>
      </w:pPr>
      <w:r>
        <w:t xml:space="preserve">Any revised medium-term fiber-passings or broadband-growth targets.</w:t>
      </w:r>
    </w:p>
    <w:p>
      <w:pPr>
        <w:pStyle w:val="FirstParagraph"/>
      </w:pPr>
      <w:r>
        <w:t xml:space="preserve">The investment case is stronger if Verizon can demonstrate that it is adding fiber customers profitably while maintaining FWA growth where network capacity supports it.</w:t>
      </w:r>
    </w:p>
    <w:p>
      <w:r>
        <w:pict>
          <v:rect style="width:0;height:1.5pt" o:hralign="center" o:hrstd="t" o:hr="t"/>
        </w:pict>
      </w:r>
    </w:p>
    <w:bookmarkEnd w:id="15"/>
    <w:bookmarkStart w:id="16" w:name="Xe9d18c58051fa11128e38ddef5ef2a009977e95"/>
    <w:p>
      <w:pPr>
        <w:pStyle w:val="Heading3"/>
      </w:pPr>
      <w:r>
        <w:t xml:space="preserve">4. Margin expansion and the $5 billion cost program</w:t>
      </w:r>
    </w:p>
    <w:p>
      <w:pPr>
        <w:pStyle w:val="FirstParagraph"/>
      </w:pPr>
      <w:r>
        <w:t xml:space="preserve">Q1 established a high earnings bar: adjusted EBITDA rose</w:t>
      </w:r>
      <w:r>
        <w:t xml:space="preserve"> </w:t>
      </w:r>
      <w:r>
        <w:rPr>
          <w:b/>
          <w:bCs/>
        </w:rPr>
        <w:t xml:space="preserve">6.7%</w:t>
      </w:r>
      <w:r>
        <w:t xml:space="preserve"> </w:t>
      </w:r>
      <w:r>
        <w:t xml:space="preserve">year over year to a company-record</w:t>
      </w:r>
      <w:r>
        <w:t xml:space="preserve"> </w:t>
      </w:r>
      <w:r>
        <w:rPr>
          <w:b/>
          <w:bCs/>
        </w:rPr>
        <w:t xml:space="preserve">$13.4 billion</w:t>
      </w:r>
      <w:r>
        <w:t xml:space="preserve">, and adjusted EBITDA margin expanded</w:t>
      </w:r>
      <w:r>
        <w:t xml:space="preserve"> </w:t>
      </w:r>
      <w:r>
        <w:rPr>
          <w:b/>
          <w:bCs/>
        </w:rPr>
        <w:t xml:space="preserve">140 basis points</w:t>
      </w:r>
      <w:r>
        <w:t xml:space="preserve"> </w:t>
      </w:r>
      <w:r>
        <w:t xml:space="preserve">to 38.9%. Adjusted EPS increased</w:t>
      </w:r>
      <w:r>
        <w:t xml:space="preserve"> </w:t>
      </w:r>
      <w:r>
        <w:rPr>
          <w:b/>
          <w:bCs/>
        </w:rPr>
        <w:t xml:space="preserve">7.6%</w:t>
      </w:r>
      <w:r>
        <w:t xml:space="preserve"> </w:t>
      </w:r>
      <w:r>
        <w:t xml:space="preserve">to $1.28. (</w:t>
      </w:r>
      <w:hyperlink r:id="rId12">
        <w:r>
          <w:rPr>
            <w:rStyle w:val="Hyperlink"/>
          </w:rPr>
          <w:t xml:space="preserve">verizon.com</w:t>
        </w:r>
      </w:hyperlink>
      <w:r>
        <w:t xml:space="preserve">)</w:t>
      </w:r>
    </w:p>
    <w:p>
      <w:pPr>
        <w:pStyle w:val="BodyText"/>
      </w:pPr>
      <w:r>
        <w:t xml:space="preserve">Management is targeting</w:t>
      </w:r>
      <w:r>
        <w:t xml:space="preserve"> </w:t>
      </w:r>
      <w:r>
        <w:rPr>
          <w:b/>
          <w:bCs/>
        </w:rPr>
        <w:t xml:space="preserve">$5 billion of operating-expense savings in 2026</w:t>
      </w:r>
      <w:r>
        <w:t xml:space="preserve">, supported by workforce reductions, lower marketing and retention costs, network optimization, IT simplification, digital channel migration, and AI-enabled automation.</w:t>
      </w:r>
    </w:p>
    <w:p>
      <w:pPr>
        <w:pStyle w:val="BodyText"/>
      </w:pPr>
      <w:r>
        <w:t xml:space="preserve">The recent reported plan to cut roughly 3,000 positions and divest 274 company-owned retail locations to franchisees reinforces management’s willingness to move aggressively on the cost base. However, it also elevates the need to monitor customer-service quality, retail execution, and severance/restructuring cash costs.</w:t>
      </w:r>
    </w:p>
    <w:p>
      <w:pPr>
        <w:pStyle w:val="BodyText"/>
      </w:pPr>
      <w:r>
        <w:rPr>
          <w:b/>
          <w:bCs/>
        </w:rPr>
        <w:t xml:space="preserve">Key Q2 questions:</w:t>
      </w:r>
    </w:p>
    <w:p>
      <w:pPr>
        <w:pStyle w:val="Compact"/>
        <w:numPr>
          <w:ilvl w:val="0"/>
          <w:numId w:val="1004"/>
        </w:numPr>
      </w:pPr>
      <w:r>
        <w:t xml:space="preserve">How much of the $5 billion savings target has been achieved or is contractually committed?</w:t>
      </w:r>
    </w:p>
    <w:p>
      <w:pPr>
        <w:pStyle w:val="Compact"/>
        <w:numPr>
          <w:ilvl w:val="0"/>
          <w:numId w:val="1004"/>
        </w:numPr>
      </w:pPr>
      <w:r>
        <w:t xml:space="preserve">Are savings flowing through to EBITDA, or being reinvested into commercial activity and customer experience?</w:t>
      </w:r>
    </w:p>
    <w:p>
      <w:pPr>
        <w:pStyle w:val="Compact"/>
        <w:numPr>
          <w:ilvl w:val="0"/>
          <w:numId w:val="1004"/>
        </w:numPr>
      </w:pPr>
      <w:r>
        <w:t xml:space="preserve">Does management still expect EBITDA to grow faster than adjusted EPS, given incremental Frontier interest and depreciation?</w:t>
      </w:r>
    </w:p>
    <w:p>
      <w:pPr>
        <w:pStyle w:val="Compact"/>
        <w:numPr>
          <w:ilvl w:val="0"/>
          <w:numId w:val="1004"/>
        </w:numPr>
      </w:pPr>
      <w:r>
        <w:t xml:space="preserve">Are retail-store actions a net customer-experience risk or a structural margin opportunity?</w:t>
      </w:r>
    </w:p>
    <w:p>
      <w:r>
        <w:pict>
          <v:rect style="width:0;height:1.5pt" o:hralign="center" o:hrstd="t" o:hr="t"/>
        </w:pict>
      </w:r>
    </w:p>
    <w:bookmarkEnd w:id="16"/>
    <w:bookmarkStart w:id="17" w:name="X8f4366ae9c49321554345a9186ea028e9996777"/>
    <w:p>
      <w:pPr>
        <w:pStyle w:val="Heading3"/>
      </w:pPr>
      <w:r>
        <w:t xml:space="preserve">5. Free cash flow, debt reduction, and capital allocation</w:t>
      </w:r>
    </w:p>
    <w:p>
      <w:pPr>
        <w:pStyle w:val="FirstParagraph"/>
      </w:pPr>
      <w:r>
        <w:t xml:space="preserve">Verizon’s cash flow is central to both its valuation and dividend support.</w:t>
      </w:r>
    </w:p>
    <w:p>
      <w:pPr>
        <w:pStyle w:val="BodyText"/>
      </w:pPr>
      <w:r>
        <w:t xml:space="preserve">The company reaffirmed 2026 expectations for:</w:t>
      </w:r>
    </w:p>
    <w:p>
      <w:pPr>
        <w:pStyle w:val="Compact"/>
        <w:numPr>
          <w:ilvl w:val="0"/>
          <w:numId w:val="1005"/>
        </w:numPr>
      </w:pPr>
      <m:oMath>
        <m:r>
          <m:t>37.5</m:t>
        </m:r>
        <m:r>
          <m:t>B</m:t>
        </m:r>
        <m:r>
          <m:rPr>
            <m:sty m:val="p"/>
          </m:rPr>
          <m:t>–</m:t>
        </m:r>
      </m:oMath>
      <w:r>
        <w:rPr>
          <w:b/>
          <w:bCs/>
        </w:rPr>
        <w:t xml:space="preserve">38.0B</w:t>
      </w:r>
      <w:r>
        <w:t xml:space="preserve"> </w:t>
      </w:r>
      <w:r>
        <w:t xml:space="preserve">of operating cash flow</w:t>
      </w:r>
    </w:p>
    <w:p>
      <w:pPr>
        <w:pStyle w:val="Compact"/>
        <w:numPr>
          <w:ilvl w:val="0"/>
          <w:numId w:val="1005"/>
        </w:numPr>
      </w:pPr>
      <m:oMath>
        <m:r>
          <m:t>16.0</m:t>
        </m:r>
        <m:r>
          <m:t>B</m:t>
        </m:r>
        <m:r>
          <m:rPr>
            <m:sty m:val="p"/>
          </m:rPr>
          <m:t>–</m:t>
        </m:r>
      </m:oMath>
      <w:r>
        <w:rPr>
          <w:b/>
          <w:bCs/>
        </w:rPr>
        <w:t xml:space="preserve">16.5B</w:t>
      </w:r>
      <w:r>
        <w:t xml:space="preserve"> </w:t>
      </w:r>
      <w:r>
        <w:t xml:space="preserve">of capital expenditures</w:t>
      </w:r>
    </w:p>
    <w:p>
      <w:pPr>
        <w:pStyle w:val="Compact"/>
        <w:numPr>
          <w:ilvl w:val="0"/>
          <w:numId w:val="1005"/>
        </w:numPr>
      </w:pPr>
      <w:r>
        <w:rPr>
          <w:b/>
          <w:bCs/>
        </w:rPr>
        <w:t xml:space="preserve">At least $21.5B</w:t>
      </w:r>
      <w:r>
        <w:t xml:space="preserve"> </w:t>
      </w:r>
      <w:r>
        <w:t xml:space="preserve">of free cash flow</w:t>
      </w:r>
    </w:p>
    <w:p>
      <w:pPr>
        <w:pStyle w:val="FirstParagraph"/>
      </w:pPr>
      <w:r>
        <w:t xml:space="preserve">Q1 free cash flow was</w:t>
      </w:r>
      <w:r>
        <w:t xml:space="preserve"> </w:t>
      </w:r>
      <m:oMath>
        <m:r>
          <m:t>3.8</m:t>
        </m:r>
        <m:r>
          <m:t>B</m:t>
        </m:r>
        <m:r>
          <m:rPr>
            <m:sty m:val="p"/>
          </m:rPr>
          <m:t>*</m:t>
        </m:r>
        <m:r>
          <m:rPr>
            <m:sty m:val="p"/>
          </m:rPr>
          <m:t>*</m:t>
        </m:r>
        <m:r>
          <m:rPr>
            <m:sty m:val="p"/>
          </m:rPr>
          <m:t>,</m:t>
        </m:r>
        <m:r>
          <m:t>u</m:t>
        </m:r>
        <m:r>
          <m:t>p</m:t>
        </m:r>
        <m:r>
          <m:t>4</m:t>
        </m:r>
      </m:oMath>
      <w:r>
        <w:rPr>
          <w:b/>
          <w:bCs/>
        </w:rPr>
        <w:t xml:space="preserve">130.1B of net unsecured debt</w:t>
      </w:r>
      <w:r>
        <w:t xml:space="preserve"> </w:t>
      </w:r>
      <w:r>
        <w:t xml:space="preserve">at quarter-end and a</w:t>
      </w:r>
      <w:r>
        <w:t xml:space="preserve"> </w:t>
      </w:r>
      <w:r>
        <w:rPr>
          <w:b/>
          <w:bCs/>
        </w:rPr>
        <w:t xml:space="preserve">2.6x</w:t>
      </w:r>
      <w:r>
        <w:t xml:space="preserve"> </w:t>
      </w:r>
      <w:r>
        <w:t xml:space="preserve">net-unsecured-debt-to-adjusted-EBITDA ratio following the Frontier acquisition. Management expects to repay substantially all Frontier debt by year-end and targets a return to</w:t>
      </w:r>
      <w:r>
        <w:t xml:space="preserve"> </w:t>
      </w:r>
      <w:r>
        <w:rPr>
          <w:b/>
          <w:bCs/>
        </w:rPr>
        <w:t xml:space="preserve">2.0x–2.25x</w:t>
      </w:r>
      <w:r>
        <w:t xml:space="preserve"> </w:t>
      </w:r>
      <w:r>
        <w:t xml:space="preserve">leverage in 2027. (</w:t>
      </w:r>
      <w:hyperlink r:id="rId12">
        <w:r>
          <w:rPr>
            <w:rStyle w:val="Hyperlink"/>
          </w:rPr>
          <w:t xml:space="preserve">verizon.com</w:t>
        </w:r>
      </w:hyperlink>
      <w:r>
        <w:t xml:space="preserve">)</w:t>
      </w:r>
    </w:p>
    <w:p>
      <w:pPr>
        <w:pStyle w:val="BodyText"/>
      </w:pPr>
      <w:r>
        <w:t xml:space="preserve">The company also repurchased</w:t>
      </w:r>
      <w:r>
        <w:t xml:space="preserve"> </w:t>
      </w:r>
      <w:r>
        <w:rPr>
          <w:b/>
          <w:bCs/>
        </w:rPr>
        <w:t xml:space="preserve">$2.5B</w:t>
      </w:r>
      <w:r>
        <w:t xml:space="preserve"> </w:t>
      </w:r>
      <w:r>
        <w:t xml:space="preserve">of stock in Q1, versus a full-year target of at least $3B.</w:t>
      </w:r>
    </w:p>
    <w:p>
      <w:pPr>
        <w:pStyle w:val="BodyText"/>
      </w:pPr>
      <w:r>
        <w:rPr>
          <w:b/>
          <w:bCs/>
        </w:rPr>
        <w:t xml:space="preserve">What matters in Q2:</w:t>
      </w:r>
    </w:p>
    <w:p>
      <w:pPr>
        <w:pStyle w:val="Compact"/>
        <w:numPr>
          <w:ilvl w:val="0"/>
          <w:numId w:val="1006"/>
        </w:numPr>
      </w:pPr>
      <w:r>
        <w:t xml:space="preserve">Free-cash-flow conversion and working-capital performance.</w:t>
      </w:r>
    </w:p>
    <w:p>
      <w:pPr>
        <w:pStyle w:val="Compact"/>
        <w:numPr>
          <w:ilvl w:val="0"/>
          <w:numId w:val="1006"/>
        </w:numPr>
      </w:pPr>
      <w:r>
        <w:t xml:space="preserve">Progress retiring Frontier-related debt.</w:t>
      </w:r>
    </w:p>
    <w:p>
      <w:pPr>
        <w:pStyle w:val="Compact"/>
        <w:numPr>
          <w:ilvl w:val="0"/>
          <w:numId w:val="1006"/>
        </w:numPr>
      </w:pPr>
      <w:r>
        <w:t xml:space="preserve">Any change in capital-spending guidance.</w:t>
      </w:r>
    </w:p>
    <w:p>
      <w:pPr>
        <w:pStyle w:val="Compact"/>
        <w:numPr>
          <w:ilvl w:val="0"/>
          <w:numId w:val="1006"/>
        </w:numPr>
      </w:pPr>
      <w:r>
        <w:t xml:space="preserve">The pace of buybacks after the front-loaded Q1 repurchase.</w:t>
      </w:r>
    </w:p>
    <w:p>
      <w:pPr>
        <w:pStyle w:val="Compact"/>
        <w:numPr>
          <w:ilvl w:val="0"/>
          <w:numId w:val="1006"/>
        </w:numPr>
      </w:pPr>
      <w:r>
        <w:t xml:space="preserve">Whether the dividend, buyback, and deleveraging priorities remain compatible.</w:t>
      </w:r>
    </w:p>
    <w:p>
      <w:pPr>
        <w:pStyle w:val="FirstParagraph"/>
      </w:pPr>
      <w:r>
        <w:t xml:space="preserve">This is particularly important because Verizon’s appeal to income-oriented investors depends on the durability of free cash flow—not just quarterly EPS.</w:t>
      </w:r>
    </w:p>
    <w:p>
      <w:r>
        <w:pict>
          <v:rect style="width:0;height:1.5pt" o:hralign="center" o:hrstd="t" o:hr="t"/>
        </w:pict>
      </w:r>
    </w:p>
    <w:bookmarkEnd w:id="17"/>
    <w:bookmarkEnd w:id="18"/>
    <w:bookmarkStart w:id="19" w:name="guidance-where-the-riskreward-sits"/>
    <w:p>
      <w:pPr>
        <w:pStyle w:val="Heading2"/>
      </w:pPr>
      <w:r>
        <w:t xml:space="preserve">Guidance: where the risk/reward sits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Current outlook</w:t>
            </w:r>
          </w:p>
        </w:tc>
      </w:tr>
      <w:tr>
        <w:tc>
          <w:tcPr/>
          <w:p>
            <w:pPr>
              <w:pStyle w:val="Compact"/>
            </w:pPr>
            <w:r>
              <w:t xml:space="preserve">Adjusted EPS</w:t>
            </w:r>
          </w:p>
        </w:tc>
        <w:tc>
          <w:tcPr/>
          <w:p>
            <w:pPr>
              <w:pStyle w:val="Compact"/>
              <w:jc w:val="right"/>
            </w:pPr>
            <m:oMath>
              <m:r>
                <m:t>4.95</m:t>
              </m:r>
              <m:r>
                <m:rPr>
                  <m:sty m:val="p"/>
                </m:rPr>
                <m:t>–</m:t>
              </m:r>
            </m:oMath>
            <w:r>
              <w:rPr>
                <w:b/>
                <w:bCs/>
              </w:rPr>
              <w:t xml:space="preserve">4.99</w:t>
            </w:r>
          </w:p>
        </w:tc>
      </w:tr>
      <w:tr>
        <w:tc>
          <w:tcPr/>
          <w:p>
            <w:pPr>
              <w:pStyle w:val="Compact"/>
            </w:pPr>
            <w:r>
              <w:t xml:space="preserve">Adjusted EPS growth</w:t>
            </w:r>
          </w:p>
        </w:tc>
        <w:tc>
          <w:tcPr/>
          <w:p>
            <w:pPr>
              <w:pStyle w:val="Compact"/>
              <w:jc w:val="right"/>
            </w:pPr>
            <w:r>
              <w:rPr>
                <w:b/>
                <w:bCs/>
              </w:rPr>
              <w:t xml:space="preserve">5%–6% YoY</w:t>
            </w:r>
          </w:p>
        </w:tc>
      </w:tr>
      <w:tr>
        <w:tc>
          <w:tcPr/>
          <w:p>
            <w:pPr>
              <w:pStyle w:val="Compact"/>
            </w:pPr>
            <w:r>
              <w:t xml:space="preserve">Retail postpaid phone net adds</w:t>
            </w:r>
          </w:p>
        </w:tc>
        <w:tc>
          <w:tcPr/>
          <w:p>
            <w:pPr>
              <w:pStyle w:val="Compact"/>
              <w:jc w:val="right"/>
            </w:pPr>
            <w:r>
              <w:t xml:space="preserve">Upper half of</w:t>
            </w:r>
            <w:r>
              <w:t xml:space="preserve"> </w:t>
            </w:r>
            <w:r>
              <w:rPr>
                <w:b/>
                <w:bCs/>
              </w:rPr>
              <w:t xml:space="preserve">750K–1.0M</w:t>
            </w:r>
          </w:p>
        </w:tc>
      </w:tr>
      <w:tr>
        <w:tc>
          <w:tcPr/>
          <w:p>
            <w:pPr>
              <w:pStyle w:val="Compact"/>
            </w:pPr>
            <w:r>
              <w:t xml:space="preserve">Mobility &amp; broadband service-revenue growth</w:t>
            </w:r>
          </w:p>
        </w:tc>
        <w:tc>
          <w:tcPr/>
          <w:p>
            <w:pPr>
              <w:pStyle w:val="Compact"/>
              <w:jc w:val="right"/>
            </w:pPr>
            <w:r>
              <w:rPr>
                <w:b/>
                <w:bCs/>
              </w:rPr>
              <w:t xml:space="preserve">2%–3%</w:t>
            </w:r>
          </w:p>
        </w:tc>
      </w:tr>
      <w:tr>
        <w:tc>
          <w:tcPr/>
          <w:p>
            <w:pPr>
              <w:pStyle w:val="Compact"/>
            </w:pPr>
            <w:r>
              <w:t xml:space="preserve">Operating cash flow</w:t>
            </w:r>
          </w:p>
        </w:tc>
        <w:tc>
          <w:tcPr/>
          <w:p>
            <w:pPr>
              <w:pStyle w:val="Compact"/>
              <w:jc w:val="right"/>
            </w:pPr>
            <m:oMath>
              <m:r>
                <m:t>37.5</m:t>
              </m:r>
              <m:r>
                <m:t>B</m:t>
              </m:r>
              <m:r>
                <m:rPr>
                  <m:sty m:val="p"/>
                </m:rPr>
                <m:t>–</m:t>
              </m:r>
            </m:oMath>
            <w:r>
              <w:rPr>
                <w:b/>
                <w:bCs/>
              </w:rPr>
              <w:t xml:space="preserve">38.0B</w:t>
            </w:r>
          </w:p>
        </w:tc>
      </w:tr>
      <w:tr>
        <w:tc>
          <w:tcPr/>
          <w:p>
            <w:pPr>
              <w:pStyle w:val="Compact"/>
            </w:pPr>
            <w:r>
              <w:t xml:space="preserve">Capex</w:t>
            </w:r>
          </w:p>
        </w:tc>
        <w:tc>
          <w:tcPr/>
          <w:p>
            <w:pPr>
              <w:pStyle w:val="Compact"/>
              <w:jc w:val="right"/>
            </w:pPr>
            <m:oMath>
              <m:r>
                <m:t>16.0</m:t>
              </m:r>
              <m:r>
                <m:t>B</m:t>
              </m:r>
              <m:r>
                <m:rPr>
                  <m:sty m:val="p"/>
                </m:rPr>
                <m:t>–</m:t>
              </m:r>
            </m:oMath>
            <w:r>
              <w:rPr>
                <w:b/>
                <w:bCs/>
              </w:rPr>
              <w:t xml:space="preserve">16.5B</w:t>
            </w:r>
          </w:p>
        </w:tc>
      </w:tr>
      <w:tr>
        <w:tc>
          <w:tcPr/>
          <w:p>
            <w:pPr>
              <w:pStyle w:val="Compact"/>
            </w:pPr>
            <w:r>
              <w:t xml:space="preserve">Free cash flow</w:t>
            </w:r>
          </w:p>
        </w:tc>
        <w:tc>
          <w:tcPr/>
          <w:p>
            <w:pPr>
              <w:pStyle w:val="Compact"/>
              <w:jc w:val="right"/>
            </w:pPr>
            <w:r>
              <w:rPr>
                <w:b/>
                <w:bCs/>
              </w:rPr>
              <w:t xml:space="preserve">≥$21.5B</w:t>
            </w:r>
          </w:p>
        </w:tc>
      </w:tr>
    </w:tbl>
    <w:p>
      <w:pPr>
        <w:pStyle w:val="BodyText"/>
      </w:pPr>
      <w:r>
        <w:t xml:space="preserve">The most likely positive surprise would be stronger confidence in the service-revenue trajectory, cost savings, and free-cash-flow outlook. The most meaningful negative surprise would be a guide reaffirmation accompanied by weak churn, soft postpaid phone adds, or service revenue still stuck below the targeted range.</w:t>
      </w:r>
    </w:p>
    <w:p>
      <w:r>
        <w:pict>
          <v:rect style="width:0;height:1.5pt" o:hralign="center" o:hrstd="t" o:hr="t"/>
        </w:pict>
      </w:r>
    </w:p>
    <w:bookmarkEnd w:id="19"/>
    <w:bookmarkStart w:id="20" w:name="stock-setup-and-valuation-context"/>
    <w:p>
      <w:pPr>
        <w:pStyle w:val="Heading2"/>
      </w:pPr>
      <w:r>
        <w:t xml:space="preserve">Stock setup and valuation context</w:t>
      </w:r>
    </w:p>
    <w:p>
      <w:pPr>
        <w:pStyle w:val="FirstParagraph"/>
      </w:pPr>
      <w:r>
        <w:t xml:space="preserve">VZ closed at</w:t>
      </w:r>
      <w:r>
        <w:t xml:space="preserve"> </w:t>
      </w:r>
      <w:r>
        <w:rPr>
          <w:b/>
          <w:bCs/>
        </w:rPr>
        <w:t xml:space="preserve">$43.83 on July 23</w:t>
      </w:r>
      <w:r>
        <w:t xml:space="preserve">, up roughly</w:t>
      </w:r>
      <w:r>
        <w:t xml:space="preserve"> </w:t>
      </w:r>
      <w:r>
        <w:rPr>
          <w:b/>
          <w:bCs/>
        </w:rPr>
        <w:t xml:space="preserve">7.6%</w:t>
      </w:r>
      <w:r>
        <w:t xml:space="preserve"> </w:t>
      </w:r>
      <w:r>
        <w:t xml:space="preserve">year to date, compared with declines of approximately</w:t>
      </w:r>
      <w:r>
        <w:t xml:space="preserve"> </w:t>
      </w:r>
      <w:r>
        <w:rPr>
          <w:b/>
          <w:bCs/>
        </w:rPr>
        <w:t xml:space="preserve">7.5%</w:t>
      </w:r>
      <w:r>
        <w:t xml:space="preserve"> </w:t>
      </w:r>
      <w:r>
        <w:t xml:space="preserve">for AT&amp;T and</w:t>
      </w:r>
      <w:r>
        <w:t xml:space="preserve"> </w:t>
      </w:r>
      <w:r>
        <w:rPr>
          <w:b/>
          <w:bCs/>
        </w:rPr>
        <w:t xml:space="preserve">16.1%</w:t>
      </w:r>
      <w:r>
        <w:t xml:space="preserve"> </w:t>
      </w:r>
      <w:r>
        <w:t xml:space="preserve">for T-Mobile over the same period.</w:t>
      </w:r>
    </w:p>
    <w:p>
      <w:pPr>
        <w:pStyle w:val="BodyText"/>
      </w:pPr>
      <w:r>
        <w:t xml:space="preserve">Using the midpoint of Verizon’s adjusted-EPS guidance, the stock trades at roughly</w:t>
      </w:r>
      <w:r>
        <w:t xml:space="preserve"> </w:t>
      </w:r>
      <w:r>
        <w:rPr>
          <w:b/>
          <w:bCs/>
        </w:rPr>
        <w:t xml:space="preserve">8.8x</w:t>
      </w:r>
      <w:r>
        <w:t xml:space="preserve"> </w:t>
      </w:r>
      <w:r>
        <w:t xml:space="preserve">2026 adjusted EPS. Based on the Q1 quarterly dividend of $0.7075 per share, the indicated annualized dividend yield is approximately</w:t>
      </w:r>
      <w:r>
        <w:t xml:space="preserve"> </w:t>
      </w:r>
      <w:r>
        <w:rPr>
          <w:b/>
          <w:bCs/>
        </w:rPr>
        <w:t xml:space="preserve">6.5%</w:t>
      </w:r>
      <w:r>
        <w:t xml:space="preserve"> </w:t>
      </w:r>
      <w:r>
        <w:t xml:space="preserve">at the July 23 close.</w:t>
      </w:r>
    </w:p>
    <w:p>
      <w:pPr>
        <w:pStyle w:val="BodyText"/>
      </w:pPr>
      <w:r>
        <w:t xml:space="preserve">That valuation leaves room for upside if management demonstrates that:</w:t>
      </w:r>
    </w:p>
    <w:p>
      <w:pPr>
        <w:pStyle w:val="Compact"/>
        <w:numPr>
          <w:ilvl w:val="0"/>
          <w:numId w:val="1007"/>
        </w:numPr>
      </w:pPr>
      <w:r>
        <w:t xml:space="preserve">subscriber improvements are durable;</w:t>
      </w:r>
    </w:p>
    <w:p>
      <w:pPr>
        <w:pStyle w:val="Compact"/>
        <w:numPr>
          <w:ilvl w:val="0"/>
          <w:numId w:val="1007"/>
        </w:numPr>
      </w:pPr>
      <w:r>
        <w:t xml:space="preserve">service revenue can accelerate despite lower reliance on price increases;</w:t>
      </w:r>
    </w:p>
    <w:p>
      <w:pPr>
        <w:pStyle w:val="Compact"/>
        <w:numPr>
          <w:ilvl w:val="0"/>
          <w:numId w:val="1007"/>
        </w:numPr>
      </w:pPr>
      <w:r>
        <w:t xml:space="preserve">Frontier integration creates real convergence and cost benefits; and</w:t>
      </w:r>
    </w:p>
    <w:p>
      <w:pPr>
        <w:pStyle w:val="Compact"/>
        <w:numPr>
          <w:ilvl w:val="0"/>
          <w:numId w:val="1007"/>
        </w:numPr>
      </w:pPr>
      <w:r>
        <w:t xml:space="preserve">free cash flow supports both deleveraging and shareholder returns.</w:t>
      </w:r>
    </w:p>
    <w:p>
      <w:pPr>
        <w:pStyle w:val="FirstParagraph"/>
      </w:pPr>
      <w:r>
        <w:t xml:space="preserve">Conversely, the stock’s income appeal could be challenged if the turnaround requires Verizon to reintroduce heavier subsidies or if Frontier-related leverage and integration costs impede cash generation.</w:t>
      </w:r>
    </w:p>
    <w:p>
      <w:r>
        <w:pict>
          <v:rect style="width:0;height:1.5pt" o:hralign="center" o:hrstd="t" o:hr="t"/>
        </w:pict>
      </w:r>
    </w:p>
    <w:bookmarkEnd w:id="20"/>
    <w:bookmarkStart w:id="23" w:name="bottom-line"/>
    <w:p>
      <w:pPr>
        <w:pStyle w:val="Heading2"/>
      </w:pPr>
      <w:r>
        <w:t xml:space="preserve">Bottom line</w:t>
      </w:r>
    </w:p>
    <w:p>
      <w:pPr>
        <w:pStyle w:val="FirstParagraph"/>
      </w:pPr>
      <w:r>
        <w:rPr>
          <w:b/>
          <w:bCs/>
        </w:rPr>
        <w:t xml:space="preserve">The Q2 report needs to show operational confirmation, not merely an earnings beat.</w:t>
      </w:r>
      <w:r>
        <w:t xml:space="preserve"> </w:t>
      </w:r>
      <w:r>
        <w:t xml:space="preserve">Verizon’s Q1 results established a credible turnaround framework: better churn, more disciplined acquisition, improving broadband scale, cost savings, and stronger cash returns. Q2 should demonstrate whether those gains are broadening into service-revenue acceleration and sustainable postpaid growth.</w:t>
      </w:r>
    </w:p>
    <w:bookmarkStart w:id="21" w:name="bull-case-for-the-report"/>
    <w:p>
      <w:pPr>
        <w:pStyle w:val="Heading3"/>
      </w:pPr>
      <w:r>
        <w:t xml:space="preserve">Bull case for the report</w:t>
      </w:r>
    </w:p>
    <w:p>
      <w:pPr>
        <w:pStyle w:val="Compact"/>
        <w:numPr>
          <w:ilvl w:val="0"/>
          <w:numId w:val="1008"/>
        </w:numPr>
      </w:pPr>
      <w:r>
        <w:t xml:space="preserve">Postpaid phone net adds strengthen meaningfully.</w:t>
      </w:r>
    </w:p>
    <w:p>
      <w:pPr>
        <w:pStyle w:val="Compact"/>
        <w:numPr>
          <w:ilvl w:val="0"/>
          <w:numId w:val="1008"/>
        </w:numPr>
      </w:pPr>
      <w:r>
        <w:t xml:space="preserve">Churn remains near or below Q1 exit levels.</w:t>
      </w:r>
    </w:p>
    <w:p>
      <w:pPr>
        <w:pStyle w:val="Compact"/>
        <w:numPr>
          <w:ilvl w:val="0"/>
          <w:numId w:val="1008"/>
        </w:numPr>
      </w:pPr>
      <w:r>
        <w:t xml:space="preserve">Mobility and broadband service-revenue growth moves toward the 2%–3% target.</w:t>
      </w:r>
    </w:p>
    <w:p>
      <w:pPr>
        <w:pStyle w:val="Compact"/>
        <w:numPr>
          <w:ilvl w:val="0"/>
          <w:numId w:val="1008"/>
        </w:numPr>
      </w:pPr>
      <w:r>
        <w:t xml:space="preserve">EBITDA margin expands again as cost actions stick.</w:t>
      </w:r>
    </w:p>
    <w:p>
      <w:pPr>
        <w:pStyle w:val="Compact"/>
        <w:numPr>
          <w:ilvl w:val="0"/>
          <w:numId w:val="1008"/>
        </w:numPr>
      </w:pPr>
      <w:r>
        <w:t xml:space="preserve">Free cash flow and Frontier debt repayment track comfortably to plan.</w:t>
      </w:r>
    </w:p>
    <w:p>
      <w:pPr>
        <w:pStyle w:val="Compact"/>
        <w:numPr>
          <w:ilvl w:val="0"/>
          <w:numId w:val="1008"/>
        </w:numPr>
      </w:pPr>
      <w:r>
        <w:t xml:space="preserve">Management signals room to outperform its raised EPS or buyback targets.</w:t>
      </w:r>
    </w:p>
    <w:bookmarkEnd w:id="21"/>
    <w:bookmarkStart w:id="22" w:name="bear-case-for-the-report"/>
    <w:p>
      <w:pPr>
        <w:pStyle w:val="Heading3"/>
      </w:pPr>
      <w:r>
        <w:t xml:space="preserve">Bear case for the report</w:t>
      </w:r>
    </w:p>
    <w:p>
      <w:pPr>
        <w:pStyle w:val="Compact"/>
        <w:numPr>
          <w:ilvl w:val="0"/>
          <w:numId w:val="1009"/>
        </w:numPr>
      </w:pPr>
      <w:r>
        <w:t xml:space="preserve">Improved subscriber metrics require renewed promotional intensity.</w:t>
      </w:r>
    </w:p>
    <w:p>
      <w:pPr>
        <w:pStyle w:val="Compact"/>
        <w:numPr>
          <w:ilvl w:val="0"/>
          <w:numId w:val="1009"/>
        </w:numPr>
      </w:pPr>
      <w:r>
        <w:t xml:space="preserve">Service-revenue growth fails to accelerate after the Q1 outage headwind.</w:t>
      </w:r>
    </w:p>
    <w:p>
      <w:pPr>
        <w:pStyle w:val="Compact"/>
        <w:numPr>
          <w:ilvl w:val="0"/>
          <w:numId w:val="1009"/>
        </w:numPr>
      </w:pPr>
      <w:r>
        <w:t xml:space="preserve">ARPA remains weak despite improved customer volumes.</w:t>
      </w:r>
    </w:p>
    <w:p>
      <w:pPr>
        <w:pStyle w:val="Compact"/>
        <w:numPr>
          <w:ilvl w:val="0"/>
          <w:numId w:val="1009"/>
        </w:numPr>
      </w:pPr>
      <w:r>
        <w:t xml:space="preserve">Cost savings are offset by restructuring, integration, or commercial reinvestment.</w:t>
      </w:r>
    </w:p>
    <w:p>
      <w:pPr>
        <w:pStyle w:val="Compact"/>
        <w:numPr>
          <w:ilvl w:val="0"/>
          <w:numId w:val="1009"/>
        </w:numPr>
      </w:pPr>
      <w:r>
        <w:t xml:space="preserve">Frontier debt, interest expense, and depreciation pressure delay deleveraging.</w:t>
      </w:r>
    </w:p>
    <w:p>
      <w:pPr>
        <w:pStyle w:val="FirstParagraph"/>
      </w:pPr>
      <w:r>
        <w:rPr>
          <w:b/>
          <w:bCs/>
        </w:rPr>
        <w:t xml:space="preserve">Investor focus on the call:</w:t>
      </w:r>
      <w:r>
        <w:t xml:space="preserve"> </w:t>
      </w:r>
      <w:r>
        <w:t xml:space="preserve">churn, postpaid-phone net adds, service-revenue progression, broadband mix, realized cost savings, and free-cash-flow/debt-repayment cadence.</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verizon.com/about/news/verizon-to-report-earnings-july-24-2026?utm_source=openai" TargetMode="External" /><Relationship Type="http://schemas.openxmlformats.org/officeDocument/2006/relationships/hyperlink" Id="rId12" Target="https://www.verizon.com/about/sites/default/files/Verizon-Earnings-Press-Release_0.pdf?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www.verizon.com/about/news/verizon-to-report-earnings-july-24-2026?utm_source=openai" TargetMode="External" /><Relationship Type="http://schemas.openxmlformats.org/officeDocument/2006/relationships/hyperlink" Id="rId12" Target="https://www.verizon.com/about/sites/default/files/Verizon-Earnings-Press-Release_0.pdf?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2026-07-24T00:06:10Z</dcterms:created>
  <dcterms:modified xsi:type="dcterms:W3CDTF">2026-07-24T00:06:10Z</dcterms:modified>
</cp:coreProperties>
</file>

<file path=docProps/custom.xml><?xml version="1.0" encoding="utf-8"?>
<Properties xmlns="http://schemas.openxmlformats.org/officeDocument/2006/custom-properties" xmlns:vt="http://schemas.openxmlformats.org/officeDocument/2006/docPropsVTypes"/>
</file>