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Verizon Communications (VZ) — Q2 2026 Earnings Preview</w:t>
      </w:r>
    </w:p>
    <w:p>
      <w:r>
        <w:rPr>
          <w:rFonts w:ascii="Calibri" w:hAnsi="Calibri"/>
          <w:b/>
          <w:color w:val="525866"/>
          <w:sz w:val="22"/>
        </w:rPr>
        <w:t xml:space="preserve">Earnings Date: </w:t>
      </w:r>
      <w:r>
        <w:rPr>
          <w:rFonts w:ascii="Calibri" w:hAnsi="Calibri"/>
          <w:color w:val="525866"/>
          <w:sz w:val="22"/>
        </w:rPr>
        <w:t xml:space="preserve">July 24, 2026 (Pre-Market)   </w:t>
      </w:r>
      <w:r>
        <w:rPr>
          <w:rFonts w:ascii="Calibri" w:hAnsi="Calibri"/>
          <w:b/>
          <w:color w:val="525866"/>
          <w:sz w:val="22"/>
        </w:rPr>
        <w:t xml:space="preserve">Prepared: </w:t>
      </w:r>
      <w:r>
        <w:rPr>
          <w:rFonts w:ascii="Calibri" w:hAnsi="Calibri"/>
          <w:color w:val="525866"/>
          <w:sz w:val="22"/>
        </w:rPr>
        <w:t xml:space="preserve">July 23, 2026   </w:t>
      </w:r>
      <w:r>
        <w:rPr>
          <w:rFonts w:ascii="Calibri" w:hAnsi="Calibri"/>
          <w:b/>
          <w:color w:val="525866"/>
          <w:sz w:val="22"/>
        </w:rPr>
        <w:t xml:space="preserve">Reporting Period: </w:t>
      </w:r>
      <w:r>
        <w:rPr>
          <w:rFonts w:ascii="Calibri" w:hAnsi="Calibri"/>
          <w:color w:val="525866"/>
          <w:sz w:val="22"/>
        </w:rPr>
        <w:t>Q2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but not a slam dunk — consensus has modestly drifted lower since Q1 earnings, the bar on </w:t>
      </w:r>
      <w:r>
        <w:rPr>
          <w:rFonts w:ascii="Calibri" w:hAnsi="Calibri"/>
          <w:b/>
          <w:color w:val="525866"/>
          <w:sz w:val="22"/>
        </w:rPr>
        <w:t>postpaid net adds</w:t>
      </w:r>
      <w:r>
        <w:rPr>
          <w:rFonts w:ascii="Calibri" w:hAnsi="Calibri"/>
          <w:color w:val="525866"/>
          <w:sz w:val="22"/>
        </w:rPr>
        <w:t xml:space="preserve"> is achievable given Q1 momentum and peer read-throughs, but the </w:t>
      </w:r>
      <w:r>
        <w:rPr>
          <w:rFonts w:ascii="Calibri" w:hAnsi="Calibri"/>
          <w:b/>
          <w:color w:val="525866"/>
          <w:sz w:val="22"/>
        </w:rPr>
        <w:t>BT JV loss charge ($700–800M)</w:t>
      </w:r>
      <w:r>
        <w:rPr>
          <w:rFonts w:ascii="Calibri" w:hAnsi="Calibri"/>
          <w:color w:val="525866"/>
          <w:sz w:val="22"/>
        </w:rPr>
        <w:t xml:space="preserve"> and severance/asset charges ($550–750M combined) will cloud reported EBITDA and require careful adjusted vs. reported parsing. The biggest swing factor is whether </w:t>
      </w:r>
      <w:r>
        <w:rPr>
          <w:rFonts w:ascii="Calibri" w:hAnsi="Calibri"/>
          <w:b/>
          <w:color w:val="525866"/>
          <w:sz w:val="22"/>
        </w:rPr>
        <w:t>churn continued its Q1 exit-rate improvement into Q2</w:t>
      </w:r>
      <w:r>
        <w:rPr>
          <w:rFonts w:ascii="Calibri" w:hAnsi="Calibri"/>
          <w:color w:val="525866"/>
          <w:sz w:val="22"/>
        </w:rPr>
        <w:t>.</w:t>
      </w:r>
    </w:p>
    <w:p>
      <w:r>
        <w:rPr>
          <w:rFonts w:ascii="Calibri" w:hAnsi="Calibri"/>
          <w:color w:val="525866"/>
          <w:sz w:val="22"/>
        </w:rPr>
        <w:t xml:space="preserve">VZ heads into Q2 2026 earnings with a turnaround narrative that is gaining credibility but still in early innings. </w:t>
      </w:r>
      <w:r>
        <w:rPr>
          <w:rFonts w:ascii="Calibri" w:hAnsi="Calibri"/>
          <w:b/>
          <w:color w:val="525866"/>
          <w:sz w:val="22"/>
        </w:rPr>
        <w:t>Consensus EPS of $1.26</w:t>
      </w:r>
      <w:r>
        <w:rPr>
          <w:rFonts w:ascii="Calibri" w:hAnsi="Calibri"/>
          <w:color w:val="525866"/>
          <w:sz w:val="22"/>
        </w:rPr>
        <w:t xml:space="preserve"> sits slightly below the $1.28 post-Q1 baseline, reflecting modest downward drift as one-time charges (BT JV loss, severance, asset rationalization) weigh on reported figures — though adjusted EPS should be cleaner. The bar on </w:t>
      </w:r>
      <w:r>
        <w:rPr>
          <w:rFonts w:ascii="Calibri" w:hAnsi="Calibri"/>
          <w:b/>
          <w:color w:val="525866"/>
          <w:sz w:val="22"/>
        </w:rPr>
        <w:t>postpaid phone net adds (~112K consensus)</w:t>
      </w:r>
      <w:r>
        <w:rPr>
          <w:rFonts w:ascii="Calibri" w:hAnsi="Calibri"/>
          <w:color w:val="525866"/>
          <w:sz w:val="22"/>
        </w:rPr>
        <w:t xml:space="preserve"> looks achievable: VZ exited Q1 with consumer churn at 85bps and management explicitly flagged continued Q2 momentum; AT&amp;T's strong Q2 print (432K net adds) and T-Mobile's solid 277K suggest a healthy industry backdrop. The stock is down ~7% since Q1 earnings vs. XLC down ~9%, meaning VZ has actually </w:t>
      </w:r>
      <w:r>
        <w:rPr>
          <w:rFonts w:ascii="Calibri" w:hAnsi="Calibri"/>
          <w:b/>
          <w:color w:val="525866"/>
          <w:sz w:val="22"/>
        </w:rPr>
        <w:t>outperformed its sector on a relative basis</w:t>
      </w:r>
      <w:r>
        <w:rPr>
          <w:rFonts w:ascii="Calibri" w:hAnsi="Calibri"/>
          <w:color w:val="525866"/>
          <w:sz w:val="22"/>
        </w:rPr>
        <w:t xml:space="preserve"> despite the absolute decline — the stock has largely de-rated with the sector rather than on company-specific concerns. The wildcard is the </w:t>
      </w:r>
      <w:r>
        <w:rPr>
          <w:rFonts w:ascii="Calibri" w:hAnsi="Calibri"/>
          <w:b/>
          <w:color w:val="525866"/>
          <w:sz w:val="22"/>
        </w:rPr>
        <w:t>pace of ARPA recovery</w:t>
      </w:r>
      <w:r>
        <w:rPr>
          <w:rFonts w:ascii="Calibri" w:hAnsi="Calibri"/>
          <w:color w:val="525866"/>
          <w:sz w:val="22"/>
        </w:rPr>
        <w:t>: management guided for price-lapping and promo amortization tailwinds to begin as early as Q3, and any pull-forward of that inflection into Q2 commentary would be a positive catalyst.</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Factor</w:t>
            </w:r>
          </w:p>
        </w:tc>
        <w:tc>
          <w:tcPr>
            <w:tcW w:type="dxa" w:w="4320"/>
            <w:shd w:val="clear" w:color="auto" w:fill="3B4259"/>
          </w:tcPr>
          <w:p>
            <w:r>
              <w:rPr>
                <w:rFonts w:ascii="Calibri" w:hAnsi="Calibri"/>
                <w:b/>
                <w:color w:val="FFFFFF"/>
                <w:sz w:val="22"/>
              </w:rPr>
              <w:t>Assessment</w:t>
            </w:r>
          </w:p>
        </w:tc>
      </w:tr>
      <w:tr>
        <w:tc>
          <w:tcPr>
            <w:tcW w:type="dxa" w:w="4320"/>
          </w:tcPr>
          <w:p>
            <w:r>
              <w:rPr>
                <w:rFonts w:ascii="Calibri" w:hAnsi="Calibri"/>
                <w:b/>
                <w:sz w:val="22"/>
              </w:rPr>
              <w:t>Bar</w:t>
            </w:r>
          </w:p>
        </w:tc>
        <w:tc>
          <w:tcPr>
            <w:tcW w:type="dxa" w:w="4320"/>
          </w:tcPr>
          <w:p>
            <w:r>
              <w:rPr>
                <w:rFonts w:ascii="Calibri" w:hAnsi="Calibri"/>
                <w:sz w:val="22"/>
              </w:rPr>
              <w:t>Consensus EPS of $1.26 is a modest bar — slightly below the post-Q1 baseline of $1.27. Postpaid net adds consensus of ~112K is achievable given Q1 exit momentum and healthy peer prints.</w:t>
            </w:r>
          </w:p>
        </w:tc>
      </w:tr>
      <w:tr>
        <w:tc>
          <w:tcPr>
            <w:tcW w:type="dxa" w:w="4320"/>
          </w:tcPr>
          <w:p>
            <w:r>
              <w:rPr>
                <w:rFonts w:ascii="Calibri" w:hAnsi="Calibri"/>
                <w:b/>
                <w:sz w:val="22"/>
              </w:rPr>
              <w:t>Guidance / Tone</w:t>
            </w:r>
          </w:p>
        </w:tc>
        <w:tc>
          <w:tcPr>
            <w:tcW w:type="dxa" w:w="4320"/>
          </w:tcPr>
          <w:p>
            <w:r>
              <w:rPr>
                <w:rFonts w:ascii="Calibri" w:hAnsi="Calibri"/>
                <w:sz w:val="22"/>
              </w:rPr>
              <w:t>Management tone has been consistently confident at May conferences — CEO Schulman called the turnaround "probably gaining momentum" at JPM in May. No formal guidance revision since Q1 earnings.</w:t>
            </w:r>
          </w:p>
        </w:tc>
      </w:tr>
      <w:tr>
        <w:tc>
          <w:tcPr>
            <w:tcW w:type="dxa" w:w="4320"/>
          </w:tcPr>
          <w:p>
            <w:r>
              <w:rPr>
                <w:rFonts w:ascii="Calibri" w:hAnsi="Calibri"/>
                <w:b/>
                <w:sz w:val="22"/>
              </w:rPr>
              <w:t>Estimate Trajectory</w:t>
            </w:r>
          </w:p>
        </w:tc>
        <w:tc>
          <w:tcPr>
            <w:tcW w:type="dxa" w:w="4320"/>
          </w:tcPr>
          <w:p>
            <w:r>
              <w:rPr>
                <w:rFonts w:ascii="Calibri" w:hAnsi="Calibri"/>
                <w:sz w:val="22"/>
              </w:rPr>
              <w:t>EPS estimates have drifted slightly lower (-1.4%) since Q1 earnings, primarily reflecting one-time charge noise. FY2026 EPS consensus of $4.95 is essentially flat vs. the post-Q1 baseline.</w:t>
            </w:r>
          </w:p>
        </w:tc>
      </w:tr>
      <w:tr>
        <w:tc>
          <w:tcPr>
            <w:tcW w:type="dxa" w:w="4320"/>
          </w:tcPr>
          <w:p>
            <w:r>
              <w:rPr>
                <w:rFonts w:ascii="Calibri" w:hAnsi="Calibri"/>
                <w:b/>
                <w:sz w:val="22"/>
              </w:rPr>
              <w:t>Stock Setup</w:t>
            </w:r>
          </w:p>
        </w:tc>
        <w:tc>
          <w:tcPr>
            <w:tcW w:type="dxa" w:w="4320"/>
          </w:tcPr>
          <w:p>
            <w:r>
              <w:rPr>
                <w:rFonts w:ascii="Calibri" w:hAnsi="Calibri"/>
                <w:sz w:val="22"/>
              </w:rPr>
              <w:t>VZ is down -6.96% since Q1 earnings vs. XLC -9.01% and SPY +3.22% — outperforming its sector but underperforming the broad market. The stock has re-rated lower with Communication Services broadly.</w:t>
            </w:r>
          </w:p>
        </w:tc>
      </w:tr>
      <w:tr>
        <w:tc>
          <w:tcPr>
            <w:tcW w:type="dxa" w:w="4320"/>
          </w:tcPr>
          <w:p>
            <w:r>
              <w:rPr>
                <w:rFonts w:ascii="Calibri" w:hAnsi="Calibri"/>
                <w:b/>
                <w:sz w:val="22"/>
              </w:rPr>
              <w:t>Wildcard</w:t>
            </w:r>
          </w:p>
        </w:tc>
        <w:tc>
          <w:tcPr>
            <w:tcW w:type="dxa" w:w="4320"/>
          </w:tcPr>
          <w:p>
            <w:r>
              <w:rPr>
                <w:rFonts w:ascii="Calibri" w:hAnsi="Calibri"/>
                <w:sz w:val="22"/>
              </w:rPr>
              <w:t>The BT JV transaction (announced June 28) will create a $700–800M estimated loss in Q2 reported results. While non-cash/non-recurring, it requires careful parsing of adjusted vs. reported EBITDA. Any commentary on the pace of the promo amortization tailwind reversal (guided for Q3 but potentially pulling forward) could also move the stock.</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The bar is achievable on the key subscriber metrics; EPS consensus has drifted slightly lower since Q1 earnings, creating a modest cushion. </w:t>
      </w:r>
      <w:r>
        <w:rPr>
          <w:rFonts w:ascii="Calibri" w:hAnsi="Calibri"/>
          <w:b/>
          <w:color w:val="525866"/>
          <w:sz w:val="22"/>
        </w:rPr>
        <w:t>Postpaid net adds and churn are the bigger swing factors</w:t>
      </w:r>
      <w:r>
        <w:rPr>
          <w:rFonts w:ascii="Calibri" w:hAnsi="Calibri"/>
          <w:color w:val="525866"/>
          <w:sz w:val="22"/>
        </w:rPr>
        <w:t xml:space="preserve"> vs. revenue.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$34.44B</w:t>
            </w:r>
          </w:p>
        </w:tc>
        <w:tc>
          <w:tcPr>
            <w:tcW w:type="dxa" w:w="1234"/>
          </w:tcPr>
          <w:p>
            <w:r>
              <w:rPr>
                <w:rFonts w:ascii="Calibri" w:hAnsi="Calibri"/>
                <w:sz w:val="22"/>
              </w:rPr>
              <w:t>$34.50B</w:t>
            </w:r>
          </w:p>
        </w:tc>
        <w:tc>
          <w:tcPr>
            <w:tcW w:type="dxa" w:w="1234"/>
          </w:tcPr>
          <w:p>
            <w:r>
              <w:rPr>
                <w:rFonts w:ascii="Calibri" w:hAnsi="Calibri"/>
                <w:sz w:val="22"/>
              </w:rPr>
              <w:t>$35.29B</w:t>
            </w:r>
          </w:p>
        </w:tc>
        <w:tc>
          <w:tcPr>
            <w:tcW w:type="dxa" w:w="1234"/>
          </w:tcPr>
          <w:p>
            <w:r>
              <w:rPr>
                <w:rFonts w:ascii="Calibri" w:hAnsi="Calibri"/>
                <w:sz w:val="22"/>
              </w:rPr>
              <w:t>+2.3%</w:t>
            </w:r>
          </w:p>
        </w:tc>
        <w:tc>
          <w:tcPr>
            <w:tcW w:type="dxa" w:w="1234"/>
          </w:tcPr>
          <w:p>
            <w:r>
              <w:rPr>
                <w:rFonts w:ascii="Calibri" w:hAnsi="Calibri"/>
                <w:sz w:val="22"/>
              </w:rPr>
              <w:t>N/A (FY: mobility &amp; broadband svc rev +2–3%)</w:t>
            </w:r>
          </w:p>
        </w:tc>
        <w:tc>
          <w:tcPr>
            <w:tcW w:type="dxa" w:w="1234"/>
          </w:tcPr>
          <w:p>
            <w:r>
              <w:rPr>
                <w:rFonts w:ascii="Calibri" w:hAnsi="Calibri"/>
                <w:sz w:val="22"/>
              </w:rPr>
              <w:t>N/A</w:t>
            </w:r>
          </w:p>
        </w:tc>
      </w:tr>
      <w:tr>
        <w:tc>
          <w:tcPr>
            <w:tcW w:type="dxa" w:w="1234"/>
          </w:tcPr>
          <w:p>
            <w:r>
              <w:rPr>
                <w:rFonts w:ascii="Calibri" w:hAnsi="Calibri"/>
                <w:sz w:val="22"/>
              </w:rPr>
              <w:t>Consumer Wireless Svc Revenue</w:t>
            </w:r>
          </w:p>
        </w:tc>
        <w:tc>
          <w:tcPr>
            <w:tcW w:type="dxa" w:w="1234"/>
          </w:tcPr>
          <w:p>
            <w:r>
              <w:rPr>
                <w:rFonts w:ascii="Calibri" w:hAnsi="Calibri"/>
                <w:sz w:val="22"/>
              </w:rPr>
              <w:t>$17.15B</w:t>
            </w:r>
          </w:p>
        </w:tc>
        <w:tc>
          <w:tcPr>
            <w:tcW w:type="dxa" w:w="1234"/>
          </w:tcPr>
          <w:p>
            <w:r>
              <w:rPr>
                <w:rFonts w:ascii="Calibri" w:hAnsi="Calibri"/>
                <w:sz w:val="22"/>
              </w:rPr>
              <w:t>$17.37B</w:t>
            </w:r>
          </w:p>
        </w:tc>
        <w:tc>
          <w:tcPr>
            <w:tcW w:type="dxa" w:w="1234"/>
          </w:tcPr>
          <w:p>
            <w:r>
              <w:rPr>
                <w:rFonts w:ascii="Calibri" w:hAnsi="Calibri"/>
                <w:sz w:val="22"/>
              </w:rPr>
              <w:t>$17.28B</w:t>
            </w:r>
          </w:p>
        </w:tc>
        <w:tc>
          <w:tcPr>
            <w:tcW w:type="dxa" w:w="1234"/>
          </w:tcPr>
          <w:p>
            <w:r>
              <w:rPr>
                <w:rFonts w:ascii="Calibri" w:hAnsi="Calibri"/>
                <w:sz w:val="22"/>
              </w:rPr>
              <w:t>-0.5%</w:t>
            </w:r>
          </w:p>
        </w:tc>
        <w:tc>
          <w:tcPr>
            <w:tcW w:type="dxa" w:w="1234"/>
          </w:tcPr>
          <w:p>
            <w:r>
              <w:rPr>
                <w:rFonts w:ascii="Calibri" w:hAnsi="Calibri"/>
                <w:sz w:val="22"/>
              </w:rPr>
              <w:t>FY: +2–3% (Q1 was low point)</w:t>
            </w:r>
          </w:p>
        </w:tc>
        <w:tc>
          <w:tcPr>
            <w:tcW w:type="dxa" w:w="1234"/>
          </w:tcPr>
          <w:p>
            <w:r>
              <w:rPr>
                <w:rFonts w:ascii="Calibri" w:hAnsi="Calibri"/>
                <w:sz w:val="22"/>
              </w:rPr>
              <w:t>N/A</w:t>
            </w:r>
          </w:p>
        </w:tc>
      </w:tr>
      <w:tr>
        <w:tc>
          <w:tcPr>
            <w:tcW w:type="dxa" w:w="1234"/>
          </w:tcPr>
          <w:p>
            <w:r>
              <w:rPr>
                <w:rFonts w:ascii="Calibri" w:hAnsi="Calibri"/>
                <w:sz w:val="22"/>
              </w:rPr>
              <w:t>Adjusted EBITDA</w:t>
            </w:r>
          </w:p>
        </w:tc>
        <w:tc>
          <w:tcPr>
            <w:tcW w:type="dxa" w:w="1234"/>
          </w:tcPr>
          <w:p>
            <w:r>
              <w:rPr>
                <w:rFonts w:ascii="Calibri" w:hAnsi="Calibri"/>
                <w:sz w:val="22"/>
              </w:rPr>
              <w:t>$13.40B</w:t>
            </w:r>
          </w:p>
        </w:tc>
        <w:tc>
          <w:tcPr>
            <w:tcW w:type="dxa" w:w="1234"/>
          </w:tcPr>
          <w:p>
            <w:r>
              <w:rPr>
                <w:rFonts w:ascii="Calibri" w:hAnsi="Calibri"/>
                <w:sz w:val="22"/>
              </w:rPr>
              <w:t>$12.81B</w:t>
            </w:r>
          </w:p>
        </w:tc>
        <w:tc>
          <w:tcPr>
            <w:tcW w:type="dxa" w:w="1234"/>
          </w:tcPr>
          <w:p>
            <w:r>
              <w:rPr>
                <w:rFonts w:ascii="Calibri" w:hAnsi="Calibri"/>
                <w:sz w:val="22"/>
              </w:rPr>
              <w:t>$13.64B</w:t>
            </w:r>
          </w:p>
        </w:tc>
        <w:tc>
          <w:tcPr>
            <w:tcW w:type="dxa" w:w="1234"/>
          </w:tcPr>
          <w:p>
            <w:r>
              <w:rPr>
                <w:rFonts w:ascii="Calibri" w:hAnsi="Calibri"/>
                <w:b/>
                <w:color w:val="30A46C"/>
                <w:sz w:val="22"/>
              </w:rPr>
              <w:t>+6.5%</w:t>
            </w:r>
          </w:p>
        </w:tc>
        <w:tc>
          <w:tcPr>
            <w:tcW w:type="dxa" w:w="1234"/>
          </w:tcPr>
          <w:p>
            <w:r>
              <w:rPr>
                <w:rFonts w:ascii="Calibri" w:hAnsi="Calibri"/>
                <w:sz w:val="22"/>
              </w:rPr>
              <w:t>FY: growing faster than adj. EPS</w:t>
            </w:r>
          </w:p>
        </w:tc>
        <w:tc>
          <w:tcPr>
            <w:tcW w:type="dxa" w:w="1234"/>
          </w:tcPr>
          <w:p>
            <w:r>
              <w:rPr>
                <w:rFonts w:ascii="Calibri" w:hAnsi="Calibri"/>
                <w:sz w:val="22"/>
              </w:rPr>
              <w:t>N/A</w:t>
            </w:r>
          </w:p>
        </w:tc>
      </w:tr>
      <w:tr>
        <w:tc>
          <w:tcPr>
            <w:tcW w:type="dxa" w:w="1234"/>
          </w:tcPr>
          <w:p>
            <w:r>
              <w:rPr>
                <w:rFonts w:ascii="Calibri" w:hAnsi="Calibri"/>
                <w:sz w:val="22"/>
              </w:rPr>
              <w:t>Diluted EPS (Operating)</w:t>
            </w:r>
          </w:p>
        </w:tc>
        <w:tc>
          <w:tcPr>
            <w:tcW w:type="dxa" w:w="1234"/>
          </w:tcPr>
          <w:p>
            <w:r>
              <w:rPr>
                <w:rFonts w:ascii="Calibri" w:hAnsi="Calibri"/>
                <w:sz w:val="22"/>
              </w:rPr>
              <w:t>$1.28</w:t>
            </w:r>
          </w:p>
        </w:tc>
        <w:tc>
          <w:tcPr>
            <w:tcW w:type="dxa" w:w="1234"/>
          </w:tcPr>
          <w:p>
            <w:r>
              <w:rPr>
                <w:rFonts w:ascii="Calibri" w:hAnsi="Calibri"/>
                <w:sz w:val="22"/>
              </w:rPr>
              <w:t>$1.22</w:t>
            </w:r>
          </w:p>
        </w:tc>
        <w:tc>
          <w:tcPr>
            <w:tcW w:type="dxa" w:w="1234"/>
          </w:tcPr>
          <w:p>
            <w:r>
              <w:rPr>
                <w:rFonts w:ascii="Calibri" w:hAnsi="Calibri"/>
                <w:sz w:val="22"/>
              </w:rPr>
              <w:t>$1.26</w:t>
            </w:r>
          </w:p>
        </w:tc>
        <w:tc>
          <w:tcPr>
            <w:tcW w:type="dxa" w:w="1234"/>
          </w:tcPr>
          <w:p>
            <w:r>
              <w:rPr>
                <w:rFonts w:ascii="Calibri" w:hAnsi="Calibri"/>
                <w:sz w:val="22"/>
              </w:rPr>
              <w:t>+3.3%</w:t>
            </w:r>
          </w:p>
        </w:tc>
        <w:tc>
          <w:tcPr>
            <w:tcW w:type="dxa" w:w="1234"/>
          </w:tcPr>
          <w:p>
            <w:r>
              <w:rPr>
                <w:rFonts w:ascii="Calibri" w:hAnsi="Calibri"/>
                <w:sz w:val="22"/>
              </w:rPr>
              <w:t>FY: +5–6% growth (raised from +4–5%)</w:t>
            </w:r>
          </w:p>
        </w:tc>
        <w:tc>
          <w:tcPr>
            <w:tcW w:type="dxa" w:w="1234"/>
          </w:tcPr>
          <w:p>
            <w:r>
              <w:rPr>
                <w:rFonts w:ascii="Calibri" w:hAnsi="Calibri"/>
                <w:sz w:val="22"/>
              </w:rPr>
              <w:t>~In-line</w:t>
            </w:r>
          </w:p>
        </w:tc>
      </w:tr>
      <w:tr>
        <w:tc>
          <w:tcPr>
            <w:tcW w:type="dxa" w:w="1234"/>
          </w:tcPr>
          <w:p>
            <w:r>
              <w:rPr>
                <w:rFonts w:ascii="Calibri" w:hAnsi="Calibri"/>
                <w:sz w:val="22"/>
              </w:rPr>
              <w:t>Free Cash Flow</w:t>
            </w:r>
          </w:p>
        </w:tc>
        <w:tc>
          <w:tcPr>
            <w:tcW w:type="dxa" w:w="1234"/>
          </w:tcPr>
          <w:p>
            <w:r>
              <w:rPr>
                <w:rFonts w:ascii="Calibri" w:hAnsi="Calibri"/>
                <w:sz w:val="22"/>
              </w:rPr>
              <w:t>$3.78B</w:t>
            </w:r>
          </w:p>
        </w:tc>
        <w:tc>
          <w:tcPr>
            <w:tcW w:type="dxa" w:w="1234"/>
          </w:tcPr>
          <w:p>
            <w:r>
              <w:rPr>
                <w:rFonts w:ascii="Calibri" w:hAnsi="Calibri"/>
                <w:sz w:val="22"/>
              </w:rPr>
              <w:t>$5.17B</w:t>
            </w:r>
          </w:p>
        </w:tc>
        <w:tc>
          <w:tcPr>
            <w:tcW w:type="dxa" w:w="1234"/>
          </w:tcPr>
          <w:p>
            <w:r>
              <w:rPr>
                <w:rFonts w:ascii="Calibri" w:hAnsi="Calibri"/>
                <w:sz w:val="22"/>
              </w:rPr>
              <w:t>$5.35B</w:t>
            </w:r>
          </w:p>
        </w:tc>
        <w:tc>
          <w:tcPr>
            <w:tcW w:type="dxa" w:w="1234"/>
          </w:tcPr>
          <w:p>
            <w:r>
              <w:rPr>
                <w:rFonts w:ascii="Calibri" w:hAnsi="Calibri"/>
                <w:sz w:val="22"/>
              </w:rPr>
              <w:t>+3.5%</w:t>
            </w:r>
          </w:p>
        </w:tc>
        <w:tc>
          <w:tcPr>
            <w:tcW w:type="dxa" w:w="1234"/>
          </w:tcPr>
          <w:p>
            <w:r>
              <w:rPr>
                <w:rFonts w:ascii="Calibri" w:hAnsi="Calibri"/>
                <w:sz w:val="22"/>
              </w:rPr>
              <w:t>FY: $21.5B+ (+7%+)</w:t>
            </w:r>
          </w:p>
        </w:tc>
        <w:tc>
          <w:tcPr>
            <w:tcW w:type="dxa" w:w="1234"/>
          </w:tcPr>
          <w:p>
            <w:r>
              <w:rPr>
                <w:rFonts w:ascii="Calibri" w:hAnsi="Calibri"/>
                <w:sz w:val="22"/>
              </w:rPr>
              <w:t>N/A</w:t>
            </w:r>
          </w:p>
        </w:tc>
      </w:tr>
      <w:tr>
        <w:tc>
          <w:tcPr>
            <w:tcW w:type="dxa" w:w="1234"/>
          </w:tcPr>
          <w:p>
            <w:r>
              <w:rPr>
                <w:rFonts w:ascii="Calibri" w:hAnsi="Calibri"/>
                <w:sz w:val="22"/>
              </w:rPr>
              <w:t>Postpaid Phone Net Adds</w:t>
            </w:r>
          </w:p>
        </w:tc>
        <w:tc>
          <w:tcPr>
            <w:tcW w:type="dxa" w:w="1234"/>
          </w:tcPr>
          <w:p>
            <w:r>
              <w:rPr>
                <w:rFonts w:ascii="Calibri" w:hAnsi="Calibri"/>
                <w:sz w:val="22"/>
              </w:rPr>
              <w:t>52K</w:t>
            </w:r>
          </w:p>
        </w:tc>
        <w:tc>
          <w:tcPr>
            <w:tcW w:type="dxa" w:w="1234"/>
          </w:tcPr>
          <w:p>
            <w:r>
              <w:rPr>
                <w:rFonts w:ascii="Calibri" w:hAnsi="Calibri"/>
                <w:sz w:val="22"/>
              </w:rPr>
              <w:t>-7K</w:t>
            </w:r>
          </w:p>
        </w:tc>
        <w:tc>
          <w:tcPr>
            <w:tcW w:type="dxa" w:w="1234"/>
          </w:tcPr>
          <w:p>
            <w:r>
              <w:rPr>
                <w:rFonts w:ascii="Calibri" w:hAnsi="Calibri"/>
                <w:sz w:val="22"/>
              </w:rPr>
              <w:t>112K</w:t>
            </w:r>
          </w:p>
        </w:tc>
        <w:tc>
          <w:tcPr>
            <w:tcW w:type="dxa" w:w="1234"/>
          </w:tcPr>
          <w:p>
            <w:r>
              <w:rPr>
                <w:rFonts w:ascii="Calibri" w:hAnsi="Calibri"/>
                <w:sz w:val="22"/>
              </w:rPr>
              <w:t>N/M</w:t>
            </w:r>
          </w:p>
        </w:tc>
        <w:tc>
          <w:tcPr>
            <w:tcW w:type="dxa" w:w="1234"/>
          </w:tcPr>
          <w:p>
            <w:r>
              <w:rPr>
                <w:rFonts w:ascii="Calibri" w:hAnsi="Calibri"/>
                <w:sz w:val="22"/>
              </w:rPr>
              <w:t>FY: upper half of 750K–1M range</w:t>
            </w:r>
          </w:p>
        </w:tc>
        <w:tc>
          <w:tcPr>
            <w:tcW w:type="dxa" w:w="1234"/>
          </w:tcPr>
          <w:p>
            <w:r>
              <w:rPr>
                <w:rFonts w:ascii="Calibri" w:hAnsi="Calibri"/>
                <w:sz w:val="22"/>
              </w:rPr>
              <w:t>N/A</w:t>
            </w:r>
          </w:p>
        </w:tc>
      </w:tr>
      <w:tr>
        <w:tc>
          <w:tcPr>
            <w:tcW w:type="dxa" w:w="1234"/>
          </w:tcPr>
          <w:p>
            <w:r>
              <w:rPr>
                <w:rFonts w:ascii="Calibri" w:hAnsi="Calibri"/>
                <w:sz w:val="22"/>
              </w:rPr>
              <w:t>Consumer Postpaid Phone Churn</w:t>
            </w:r>
          </w:p>
        </w:tc>
        <w:tc>
          <w:tcPr>
            <w:tcW w:type="dxa" w:w="1234"/>
          </w:tcPr>
          <w:p>
            <w:r>
              <w:rPr>
                <w:rFonts w:ascii="Calibri" w:hAnsi="Calibri"/>
                <w:sz w:val="22"/>
              </w:rPr>
              <w:t>0.90%</w:t>
            </w:r>
          </w:p>
        </w:tc>
        <w:tc>
          <w:tcPr>
            <w:tcW w:type="dxa" w:w="1234"/>
          </w:tcPr>
          <w:p>
            <w:r>
              <w:rPr>
                <w:rFonts w:ascii="Calibri" w:hAnsi="Calibri"/>
                <w:sz w:val="22"/>
              </w:rPr>
              <w:t>0.90%</w:t>
            </w:r>
          </w:p>
        </w:tc>
        <w:tc>
          <w:tcPr>
            <w:tcW w:type="dxa" w:w="1234"/>
          </w:tcPr>
          <w:p>
            <w:r>
              <w:rPr>
                <w:rFonts w:ascii="Calibri" w:hAnsi="Calibri"/>
                <w:sz w:val="22"/>
              </w:rPr>
              <w:t>0.87%</w:t>
            </w:r>
          </w:p>
        </w:tc>
        <w:tc>
          <w:tcPr>
            <w:tcW w:type="dxa" w:w="1234"/>
          </w:tcPr>
          <w:p>
            <w:r>
              <w:rPr>
                <w:rFonts w:ascii="Calibri" w:hAnsi="Calibri"/>
                <w:sz w:val="22"/>
              </w:rPr>
              <w:t>-3bps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Consumer Broadband Net Adds</w:t>
            </w:r>
          </w:p>
        </w:tc>
        <w:tc>
          <w:tcPr>
            <w:tcW w:type="dxa" w:w="1234"/>
          </w:tcPr>
          <w:p>
            <w:r>
              <w:rPr>
                <w:rFonts w:ascii="Calibri" w:hAnsi="Calibri"/>
                <w:sz w:val="22"/>
              </w:rPr>
              <w:t>3,359K*</w:t>
            </w:r>
          </w:p>
        </w:tc>
        <w:tc>
          <w:tcPr>
            <w:tcW w:type="dxa" w:w="1234"/>
          </w:tcPr>
          <w:p>
            <w:r>
              <w:rPr>
                <w:rFonts w:ascii="Calibri" w:hAnsi="Calibri"/>
                <w:sz w:val="22"/>
              </w:rPr>
              <w:t>181K</w:t>
            </w:r>
          </w:p>
        </w:tc>
        <w:tc>
          <w:tcPr>
            <w:tcW w:type="dxa" w:w="1234"/>
          </w:tcPr>
          <w:p>
            <w:r>
              <w:rPr>
                <w:rFonts w:ascii="Calibri" w:hAnsi="Calibri"/>
                <w:sz w:val="22"/>
              </w:rPr>
              <w:t>230K</w:t>
            </w:r>
          </w:p>
        </w:tc>
        <w:tc>
          <w:tcPr>
            <w:tcW w:type="dxa" w:w="1234"/>
          </w:tcPr>
          <w:p>
            <w:r>
              <w:rPr>
                <w:rFonts w:ascii="Calibri" w:hAnsi="Calibri"/>
                <w:sz w:val="22"/>
              </w:rPr>
              <w:t>+27%</w:t>
            </w:r>
          </w:p>
        </w:tc>
        <w:tc>
          <w:tcPr>
            <w:tcW w:type="dxa" w:w="1234"/>
          </w:tcPr>
          <w:p>
            <w:r>
              <w:rPr>
                <w:rFonts w:ascii="Calibri" w:hAnsi="Calibri"/>
                <w:sz w:val="22"/>
              </w:rPr>
              <w:t>FY: 32M+ fiber passings by YE</w:t>
            </w:r>
          </w:p>
        </w:tc>
        <w:tc>
          <w:tcPr>
            <w:tcW w:type="dxa" w:w="1234"/>
          </w:tcPr>
          <w:p>
            <w:r>
              <w:rPr>
                <w:rFonts w:ascii="Calibri" w:hAnsi="Calibri"/>
                <w:sz w:val="22"/>
              </w:rPr>
              <w:t>N/A</w:t>
            </w:r>
          </w:p>
        </w:tc>
      </w:tr>
      <w:tr>
        <w:tc>
          <w:tcPr>
            <w:tcW w:type="dxa" w:w="1234"/>
          </w:tcPr>
          <w:p>
            <w:r>
              <w:rPr>
                <w:rFonts w:ascii="Calibri" w:hAnsi="Calibri"/>
                <w:sz w:val="22"/>
              </w:rPr>
              <w:t>CapEx</w:t>
            </w:r>
          </w:p>
        </w:tc>
        <w:tc>
          <w:tcPr>
            <w:tcW w:type="dxa" w:w="1234"/>
          </w:tcPr>
          <w:p>
            <w:r>
              <w:rPr>
                <w:rFonts w:ascii="Calibri" w:hAnsi="Calibri"/>
                <w:sz w:val="22"/>
              </w:rPr>
              <w:t>$4.20B</w:t>
            </w:r>
          </w:p>
        </w:tc>
        <w:tc>
          <w:tcPr>
            <w:tcW w:type="dxa" w:w="1234"/>
          </w:tcPr>
          <w:p>
            <w:r>
              <w:rPr>
                <w:rFonts w:ascii="Calibri" w:hAnsi="Calibri"/>
                <w:sz w:val="22"/>
              </w:rPr>
              <w:t>$3.81B</w:t>
            </w:r>
          </w:p>
        </w:tc>
        <w:tc>
          <w:tcPr>
            <w:tcW w:type="dxa" w:w="1234"/>
          </w:tcPr>
          <w:p>
            <w:r>
              <w:rPr>
                <w:rFonts w:ascii="Calibri" w:hAnsi="Calibri"/>
                <w:sz w:val="22"/>
              </w:rPr>
              <w:t>$3.94B</w:t>
            </w:r>
          </w:p>
        </w:tc>
        <w:tc>
          <w:tcPr>
            <w:tcW w:type="dxa" w:w="1234"/>
          </w:tcPr>
          <w:p>
            <w:r>
              <w:rPr>
                <w:rFonts w:ascii="Calibri" w:hAnsi="Calibri"/>
                <w:sz w:val="22"/>
              </w:rPr>
              <w:t>+3.4%</w:t>
            </w:r>
          </w:p>
        </w:tc>
        <w:tc>
          <w:tcPr>
            <w:tcW w:type="dxa" w:w="1234"/>
          </w:tcPr>
          <w:p>
            <w:r>
              <w:rPr>
                <w:rFonts w:ascii="Calibri" w:hAnsi="Calibri"/>
                <w:sz w:val="22"/>
              </w:rPr>
              <w:t>FY: $16.0–16.5B</w:t>
            </w:r>
          </w:p>
        </w:tc>
        <w:tc>
          <w:tcPr>
            <w:tcW w:type="dxa" w:w="1234"/>
          </w:tcPr>
          <w:p>
            <w:r>
              <w:rPr>
                <w:rFonts w:ascii="Calibri" w:hAnsi="Calibri"/>
                <w:sz w:val="22"/>
              </w:rPr>
              <w:t>N/A</w:t>
            </w:r>
          </w:p>
        </w:tc>
      </w:tr>
    </w:tbl>
    <w:p>
      <w:r>
        <w:rPr>
          <w:rFonts w:ascii="Calibri" w:hAnsi="Calibri"/>
          <w:i/>
          <w:color w:val="525866"/>
          <w:sz w:val="22"/>
        </w:rPr>
        <w:t>* Q1 2026 broadband net adds include ~3.1M acquired Frontier subscribers (one-time). Organic broadband net adds in Q1 were ~230K.</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EPS Reported</w:t>
            </w:r>
          </w:p>
        </w:tc>
        <w:tc>
          <w:tcPr>
            <w:tcW w:type="dxa" w:w="960"/>
            <w:shd w:val="clear" w:color="auto" w:fill="3B4259"/>
          </w:tcPr>
          <w:p>
            <w:r>
              <w:rPr>
                <w:rFonts w:ascii="Calibri" w:hAnsi="Calibri"/>
                <w:b/>
                <w:color w:val="FFFFFF"/>
                <w:sz w:val="22"/>
              </w:rPr>
              <w:t>EPS Consensus</w:t>
            </w:r>
          </w:p>
        </w:tc>
        <w:tc>
          <w:tcPr>
            <w:tcW w:type="dxa" w:w="960"/>
            <w:shd w:val="clear" w:color="auto" w:fill="3B4259"/>
          </w:tcPr>
          <w:p>
            <w:r>
              <w:rPr>
                <w:rFonts w:ascii="Calibri" w:hAnsi="Calibri"/>
                <w:b/>
                <w:color w:val="FFFFFF"/>
                <w:sz w:val="22"/>
              </w:rPr>
              <w:t>EPS Surprise</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Net Adds Reported</w:t>
            </w:r>
          </w:p>
        </w:tc>
        <w:tc>
          <w:tcPr>
            <w:tcW w:type="dxa" w:w="960"/>
            <w:shd w:val="clear" w:color="auto" w:fill="3B4259"/>
          </w:tcPr>
          <w:p>
            <w:r>
              <w:rPr>
                <w:rFonts w:ascii="Calibri" w:hAnsi="Calibri"/>
                <w:b/>
                <w:color w:val="FFFFFF"/>
                <w:sz w:val="22"/>
              </w:rPr>
              <w:t>Net Adds Consensus</w:t>
            </w:r>
          </w:p>
        </w:tc>
        <w:tc>
          <w:tcPr>
            <w:tcW w:type="dxa" w:w="960"/>
            <w:shd w:val="clear" w:color="auto" w:fill="3B4259"/>
          </w:tcPr>
          <w:p>
            <w:r>
              <w:rPr>
                <w:rFonts w:ascii="Calibri" w:hAnsi="Calibri"/>
                <w:b/>
                <w:color w:val="FFFFFF"/>
                <w:sz w:val="22"/>
              </w:rPr>
              <w:t>Net Adds Surprise</w:t>
            </w:r>
          </w:p>
        </w:tc>
        <w:tc>
          <w:tcPr>
            <w:tcW w:type="dxa" w:w="960"/>
            <w:shd w:val="clear" w:color="auto" w:fill="3B4259"/>
          </w:tcPr>
          <w:p>
            <w:r>
              <w:rPr>
                <w:rFonts w:ascii="Calibri" w:hAnsi="Calibri"/>
                <w:b/>
                <w:color w:val="FFFFFF"/>
                <w:sz w:val="22"/>
              </w:rPr>
              <w:t>Net Adds Result</w:t>
            </w:r>
          </w:p>
        </w:tc>
      </w:tr>
      <w:tr>
        <w:tc>
          <w:tcPr>
            <w:tcW w:type="dxa" w:w="960"/>
          </w:tcPr>
          <w:p>
            <w:r>
              <w:rPr>
                <w:rFonts w:ascii="Calibri" w:hAnsi="Calibri"/>
                <w:sz w:val="22"/>
              </w:rPr>
              <w:t>Q2 2024</w:t>
            </w:r>
          </w:p>
        </w:tc>
        <w:tc>
          <w:tcPr>
            <w:tcW w:type="dxa" w:w="960"/>
          </w:tcPr>
          <w:p>
            <w:r>
              <w:rPr>
                <w:rFonts w:ascii="Calibri" w:hAnsi="Calibri"/>
                <w:sz w:val="22"/>
              </w:rPr>
              <w:t>$1.15</w:t>
            </w:r>
          </w:p>
        </w:tc>
        <w:tc>
          <w:tcPr>
            <w:tcW w:type="dxa" w:w="960"/>
          </w:tcPr>
          <w:p>
            <w:r>
              <w:rPr>
                <w:rFonts w:ascii="Calibri" w:hAnsi="Calibri"/>
                <w:sz w:val="22"/>
              </w:rPr>
              <w:t>$1.15</w:t>
            </w:r>
          </w:p>
        </w:tc>
        <w:tc>
          <w:tcPr>
            <w:tcW w:type="dxa" w:w="960"/>
          </w:tcPr>
          <w:p>
            <w:r>
              <w:rPr>
                <w:rFonts w:ascii="Calibri" w:hAnsi="Calibri"/>
                <w:sz w:val="22"/>
              </w:rPr>
              <w:t>0.0%</w:t>
            </w:r>
          </w:p>
        </w:tc>
        <w:tc>
          <w:tcPr>
            <w:tcW w:type="dxa" w:w="960"/>
          </w:tcPr>
          <w:p>
            <w:r>
              <w:rPr>
                <w:rFonts w:ascii="Calibri" w:hAnsi="Calibri"/>
                <w:sz w:val="22"/>
              </w:rPr>
              <w:t>In-line</w:t>
            </w:r>
          </w:p>
        </w:tc>
        <w:tc>
          <w:tcPr>
            <w:tcW w:type="dxa" w:w="960"/>
          </w:tcPr>
          <w:p>
            <w:r>
              <w:rPr>
                <w:rFonts w:ascii="Calibri" w:hAnsi="Calibri"/>
                <w:sz w:val="22"/>
              </w:rPr>
              <w:t>34K</w:t>
            </w:r>
          </w:p>
        </w:tc>
        <w:tc>
          <w:tcPr>
            <w:tcW w:type="dxa" w:w="960"/>
          </w:tcPr>
          <w:p>
            <w:r>
              <w:rPr>
                <w:rFonts w:ascii="Calibri" w:hAnsi="Calibri"/>
                <w:sz w:val="22"/>
              </w:rPr>
              <w:t>130K</w:t>
            </w:r>
          </w:p>
        </w:tc>
        <w:tc>
          <w:tcPr>
            <w:tcW w:type="dxa" w:w="960"/>
          </w:tcPr>
          <w:p>
            <w:r>
              <w:rPr>
                <w:rFonts w:ascii="Calibri" w:hAnsi="Calibri"/>
                <w:b/>
                <w:color w:val="E5484D"/>
                <w:sz w:val="22"/>
              </w:rPr>
              <w:t>-74%</w:t>
            </w:r>
          </w:p>
        </w:tc>
        <w:tc>
          <w:tcPr>
            <w:tcW w:type="dxa" w:w="960"/>
          </w:tcPr>
          <w:p>
            <w:r>
              <w:rPr>
                <w:rFonts w:ascii="Calibri" w:hAnsi="Calibri"/>
                <w:b/>
                <w:color w:val="E5484D"/>
                <w:sz w:val="22"/>
              </w:rPr>
              <w:t>Miss</w:t>
            </w:r>
          </w:p>
        </w:tc>
      </w:tr>
      <w:tr>
        <w:tc>
          <w:tcPr>
            <w:tcW w:type="dxa" w:w="960"/>
          </w:tcPr>
          <w:p>
            <w:r>
              <w:rPr>
                <w:rFonts w:ascii="Calibri" w:hAnsi="Calibri"/>
                <w:sz w:val="22"/>
              </w:rPr>
              <w:t>Q3 2024</w:t>
            </w:r>
          </w:p>
        </w:tc>
        <w:tc>
          <w:tcPr>
            <w:tcW w:type="dxa" w:w="960"/>
          </w:tcPr>
          <w:p>
            <w:r>
              <w:rPr>
                <w:rFonts w:ascii="Calibri" w:hAnsi="Calibri"/>
                <w:sz w:val="22"/>
              </w:rPr>
              <w:t>$1.19</w:t>
            </w:r>
          </w:p>
        </w:tc>
        <w:tc>
          <w:tcPr>
            <w:tcW w:type="dxa" w:w="960"/>
          </w:tcPr>
          <w:p>
            <w:r>
              <w:rPr>
                <w:rFonts w:ascii="Calibri" w:hAnsi="Calibri"/>
                <w:sz w:val="22"/>
              </w:rPr>
              <w:t>$1.18</w:t>
            </w:r>
          </w:p>
        </w:tc>
        <w:tc>
          <w:tcPr>
            <w:tcW w:type="dxa" w:w="960"/>
          </w:tcPr>
          <w:p>
            <w:r>
              <w:rPr>
                <w:rFonts w:ascii="Calibri" w:hAnsi="Calibri"/>
                <w:sz w:val="22"/>
              </w:rPr>
              <w:t>+0.8%</w:t>
            </w:r>
          </w:p>
        </w:tc>
        <w:tc>
          <w:tcPr>
            <w:tcW w:type="dxa" w:w="960"/>
          </w:tcPr>
          <w:p>
            <w:r>
              <w:rPr>
                <w:rFonts w:ascii="Calibri" w:hAnsi="Calibri"/>
                <w:b/>
                <w:color w:val="30A46C"/>
                <w:sz w:val="22"/>
              </w:rPr>
              <w:t>Beat</w:t>
            </w:r>
          </w:p>
        </w:tc>
        <w:tc>
          <w:tcPr>
            <w:tcW w:type="dxa" w:w="960"/>
          </w:tcPr>
          <w:p>
            <w:r>
              <w:rPr>
                <w:rFonts w:ascii="Calibri" w:hAnsi="Calibri"/>
                <w:sz w:val="22"/>
              </w:rPr>
              <w:t>163K</w:t>
            </w:r>
          </w:p>
        </w:tc>
        <w:tc>
          <w:tcPr>
            <w:tcW w:type="dxa" w:w="960"/>
          </w:tcPr>
          <w:p>
            <w:r>
              <w:rPr>
                <w:rFonts w:ascii="Calibri" w:hAnsi="Calibri"/>
                <w:sz w:val="22"/>
              </w:rPr>
              <w:t>235K</w:t>
            </w:r>
          </w:p>
        </w:tc>
        <w:tc>
          <w:tcPr>
            <w:tcW w:type="dxa" w:w="960"/>
          </w:tcPr>
          <w:p>
            <w:r>
              <w:rPr>
                <w:rFonts w:ascii="Calibri" w:hAnsi="Calibri"/>
                <w:b/>
                <w:color w:val="E5484D"/>
                <w:sz w:val="22"/>
              </w:rPr>
              <w:t>-31%</w:t>
            </w:r>
          </w:p>
        </w:tc>
        <w:tc>
          <w:tcPr>
            <w:tcW w:type="dxa" w:w="960"/>
          </w:tcPr>
          <w:p>
            <w:r>
              <w:rPr>
                <w:rFonts w:ascii="Calibri" w:hAnsi="Calibri"/>
                <w:b/>
                <w:color w:val="E5484D"/>
                <w:sz w:val="22"/>
              </w:rPr>
              <w:t>Miss</w:t>
            </w:r>
          </w:p>
        </w:tc>
      </w:tr>
      <w:tr>
        <w:tc>
          <w:tcPr>
            <w:tcW w:type="dxa" w:w="960"/>
          </w:tcPr>
          <w:p>
            <w:r>
              <w:rPr>
                <w:rFonts w:ascii="Calibri" w:hAnsi="Calibri"/>
                <w:sz w:val="22"/>
              </w:rPr>
              <w:t>Q4 2024</w:t>
            </w:r>
          </w:p>
        </w:tc>
        <w:tc>
          <w:tcPr>
            <w:tcW w:type="dxa" w:w="960"/>
          </w:tcPr>
          <w:p>
            <w:r>
              <w:rPr>
                <w:rFonts w:ascii="Calibri" w:hAnsi="Calibri"/>
                <w:sz w:val="22"/>
              </w:rPr>
              <w:t>$1.10</w:t>
            </w:r>
          </w:p>
        </w:tc>
        <w:tc>
          <w:tcPr>
            <w:tcW w:type="dxa" w:w="960"/>
          </w:tcPr>
          <w:p>
            <w:r>
              <w:rPr>
                <w:rFonts w:ascii="Calibri" w:hAnsi="Calibri"/>
                <w:sz w:val="22"/>
              </w:rPr>
              <w:t>$1.10</w:t>
            </w:r>
          </w:p>
        </w:tc>
        <w:tc>
          <w:tcPr>
            <w:tcW w:type="dxa" w:w="960"/>
          </w:tcPr>
          <w:p>
            <w:r>
              <w:rPr>
                <w:rFonts w:ascii="Calibri" w:hAnsi="Calibri"/>
                <w:sz w:val="22"/>
              </w:rPr>
              <w:t>0.0%</w:t>
            </w:r>
          </w:p>
        </w:tc>
        <w:tc>
          <w:tcPr>
            <w:tcW w:type="dxa" w:w="960"/>
          </w:tcPr>
          <w:p>
            <w:r>
              <w:rPr>
                <w:rFonts w:ascii="Calibri" w:hAnsi="Calibri"/>
                <w:sz w:val="22"/>
              </w:rPr>
              <w:t>In-line</w:t>
            </w:r>
          </w:p>
        </w:tc>
        <w:tc>
          <w:tcPr>
            <w:tcW w:type="dxa" w:w="960"/>
          </w:tcPr>
          <w:p>
            <w:r>
              <w:rPr>
                <w:rFonts w:ascii="Calibri" w:hAnsi="Calibri"/>
                <w:sz w:val="22"/>
              </w:rPr>
              <w:t>502K</w:t>
            </w:r>
          </w:p>
        </w:tc>
        <w:tc>
          <w:tcPr>
            <w:tcW w:type="dxa" w:w="960"/>
          </w:tcPr>
          <w:p>
            <w:r>
              <w:rPr>
                <w:rFonts w:ascii="Calibri" w:hAnsi="Calibri"/>
                <w:sz w:val="22"/>
              </w:rPr>
              <w:t>482K</w:t>
            </w:r>
          </w:p>
        </w:tc>
        <w:tc>
          <w:tcPr>
            <w:tcW w:type="dxa" w:w="960"/>
          </w:tcPr>
          <w:p>
            <w:r>
              <w:rPr>
                <w:rFonts w:ascii="Calibri" w:hAnsi="Calibri"/>
                <w:b/>
                <w:color w:val="30A46C"/>
                <w:sz w:val="22"/>
              </w:rPr>
              <w:t>+4.1%</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$1.19</w:t>
            </w:r>
          </w:p>
        </w:tc>
        <w:tc>
          <w:tcPr>
            <w:tcW w:type="dxa" w:w="960"/>
          </w:tcPr>
          <w:p>
            <w:r>
              <w:rPr>
                <w:rFonts w:ascii="Calibri" w:hAnsi="Calibri"/>
                <w:sz w:val="22"/>
              </w:rPr>
              <w:t>$1.15</w:t>
            </w:r>
          </w:p>
        </w:tc>
        <w:tc>
          <w:tcPr>
            <w:tcW w:type="dxa" w:w="960"/>
          </w:tcPr>
          <w:p>
            <w:r>
              <w:rPr>
                <w:rFonts w:ascii="Calibri" w:hAnsi="Calibri"/>
                <w:sz w:val="22"/>
              </w:rPr>
              <w:t>+3.5%</w:t>
            </w:r>
          </w:p>
        </w:tc>
        <w:tc>
          <w:tcPr>
            <w:tcW w:type="dxa" w:w="960"/>
          </w:tcPr>
          <w:p>
            <w:r>
              <w:rPr>
                <w:rFonts w:ascii="Calibri" w:hAnsi="Calibri"/>
                <w:b/>
                <w:color w:val="30A46C"/>
                <w:sz w:val="22"/>
              </w:rPr>
              <w:t>Beat</w:t>
            </w:r>
          </w:p>
        </w:tc>
        <w:tc>
          <w:tcPr>
            <w:tcW w:type="dxa" w:w="960"/>
          </w:tcPr>
          <w:p>
            <w:r>
              <w:rPr>
                <w:rFonts w:ascii="Calibri" w:hAnsi="Calibri"/>
                <w:sz w:val="22"/>
              </w:rPr>
              <w:t>-303K</w:t>
            </w:r>
          </w:p>
        </w:tc>
        <w:tc>
          <w:tcPr>
            <w:tcW w:type="dxa" w:w="960"/>
          </w:tcPr>
          <w:p>
            <w:r>
              <w:rPr>
                <w:rFonts w:ascii="Calibri" w:hAnsi="Calibri"/>
                <w:sz w:val="22"/>
              </w:rPr>
              <w:t>-218K</w:t>
            </w:r>
          </w:p>
        </w:tc>
        <w:tc>
          <w:tcPr>
            <w:tcW w:type="dxa" w:w="960"/>
          </w:tcPr>
          <w:p>
            <w:r>
              <w:rPr>
                <w:rFonts w:ascii="Calibri" w:hAnsi="Calibri"/>
                <w:b/>
                <w:color w:val="E5484D"/>
                <w:sz w:val="22"/>
              </w:rPr>
              <w:t>Worse</w:t>
            </w:r>
          </w:p>
        </w:tc>
        <w:tc>
          <w:tcPr>
            <w:tcW w:type="dxa" w:w="960"/>
          </w:tcPr>
          <w:p>
            <w:r>
              <w:rPr>
                <w:rFonts w:ascii="Calibri" w:hAnsi="Calibri"/>
                <w:b/>
                <w:color w:val="E5484D"/>
                <w:sz w:val="22"/>
              </w:rPr>
              <w:t>Miss</w:t>
            </w:r>
          </w:p>
        </w:tc>
      </w:tr>
      <w:tr>
        <w:tc>
          <w:tcPr>
            <w:tcW w:type="dxa" w:w="960"/>
          </w:tcPr>
          <w:p>
            <w:r>
              <w:rPr>
                <w:rFonts w:ascii="Calibri" w:hAnsi="Calibri"/>
                <w:sz w:val="22"/>
              </w:rPr>
              <w:t>Q2 2025</w:t>
            </w:r>
          </w:p>
        </w:tc>
        <w:tc>
          <w:tcPr>
            <w:tcW w:type="dxa" w:w="960"/>
          </w:tcPr>
          <w:p>
            <w:r>
              <w:rPr>
                <w:rFonts w:ascii="Calibri" w:hAnsi="Calibri"/>
                <w:sz w:val="22"/>
              </w:rPr>
              <w:t>$1.22</w:t>
            </w:r>
          </w:p>
        </w:tc>
        <w:tc>
          <w:tcPr>
            <w:tcW w:type="dxa" w:w="960"/>
          </w:tcPr>
          <w:p>
            <w:r>
              <w:rPr>
                <w:rFonts w:ascii="Calibri" w:hAnsi="Calibri"/>
                <w:sz w:val="22"/>
              </w:rPr>
              <w:t>$1.19</w:t>
            </w:r>
          </w:p>
        </w:tc>
        <w:tc>
          <w:tcPr>
            <w:tcW w:type="dxa" w:w="960"/>
          </w:tcPr>
          <w:p>
            <w:r>
              <w:rPr>
                <w:rFonts w:ascii="Calibri" w:hAnsi="Calibri"/>
                <w:sz w:val="22"/>
              </w:rPr>
              <w:t>+2.5%</w:t>
            </w:r>
          </w:p>
        </w:tc>
        <w:tc>
          <w:tcPr>
            <w:tcW w:type="dxa" w:w="960"/>
          </w:tcPr>
          <w:p>
            <w:r>
              <w:rPr>
                <w:rFonts w:ascii="Calibri" w:hAnsi="Calibri"/>
                <w:b/>
                <w:color w:val="30A46C"/>
                <w:sz w:val="22"/>
              </w:rPr>
              <w:t>Beat</w:t>
            </w:r>
          </w:p>
        </w:tc>
        <w:tc>
          <w:tcPr>
            <w:tcW w:type="dxa" w:w="960"/>
          </w:tcPr>
          <w:p>
            <w:r>
              <w:rPr>
                <w:rFonts w:ascii="Calibri" w:hAnsi="Calibri"/>
                <w:sz w:val="22"/>
              </w:rPr>
              <w:t>-7K</w:t>
            </w:r>
          </w:p>
        </w:tc>
        <w:tc>
          <w:tcPr>
            <w:tcW w:type="dxa" w:w="960"/>
          </w:tcPr>
          <w:p>
            <w:r>
              <w:rPr>
                <w:rFonts w:ascii="Calibri" w:hAnsi="Calibri"/>
                <w:sz w:val="22"/>
              </w:rPr>
              <w:t>-3K</w:t>
            </w:r>
          </w:p>
        </w:tc>
        <w:tc>
          <w:tcPr>
            <w:tcW w:type="dxa" w:w="960"/>
          </w:tcPr>
          <w:p>
            <w:r>
              <w:rPr>
                <w:rFonts w:ascii="Calibri" w:hAnsi="Calibri"/>
                <w:b/>
                <w:color w:val="E5484D"/>
                <w:sz w:val="22"/>
              </w:rPr>
              <w:t>Worse</w:t>
            </w:r>
          </w:p>
        </w:tc>
        <w:tc>
          <w:tcPr>
            <w:tcW w:type="dxa" w:w="960"/>
          </w:tcPr>
          <w:p>
            <w:r>
              <w:rPr>
                <w:rFonts w:ascii="Calibri" w:hAnsi="Calibri"/>
                <w:b/>
                <w:color w:val="E5484D"/>
                <w:sz w:val="22"/>
              </w:rPr>
              <w:t>Miss</w:t>
            </w:r>
          </w:p>
        </w:tc>
      </w:tr>
      <w:tr>
        <w:tc>
          <w:tcPr>
            <w:tcW w:type="dxa" w:w="960"/>
          </w:tcPr>
          <w:p>
            <w:r>
              <w:rPr>
                <w:rFonts w:ascii="Calibri" w:hAnsi="Calibri"/>
                <w:sz w:val="22"/>
              </w:rPr>
              <w:t>Q3 2025</w:t>
            </w:r>
          </w:p>
        </w:tc>
        <w:tc>
          <w:tcPr>
            <w:tcW w:type="dxa" w:w="960"/>
          </w:tcPr>
          <w:p>
            <w:r>
              <w:rPr>
                <w:rFonts w:ascii="Calibri" w:hAnsi="Calibri"/>
                <w:sz w:val="22"/>
              </w:rPr>
              <w:t>$1.21</w:t>
            </w:r>
          </w:p>
        </w:tc>
        <w:tc>
          <w:tcPr>
            <w:tcW w:type="dxa" w:w="960"/>
          </w:tcPr>
          <w:p>
            <w:r>
              <w:rPr>
                <w:rFonts w:ascii="Calibri" w:hAnsi="Calibri"/>
                <w:sz w:val="22"/>
              </w:rPr>
              <w:t>$1.20</w:t>
            </w:r>
          </w:p>
        </w:tc>
        <w:tc>
          <w:tcPr>
            <w:tcW w:type="dxa" w:w="960"/>
          </w:tcPr>
          <w:p>
            <w:r>
              <w:rPr>
                <w:rFonts w:ascii="Calibri" w:hAnsi="Calibri"/>
                <w:sz w:val="22"/>
              </w:rPr>
              <w:t>+0.8%</w:t>
            </w:r>
          </w:p>
        </w:tc>
        <w:tc>
          <w:tcPr>
            <w:tcW w:type="dxa" w:w="960"/>
          </w:tcPr>
          <w:p>
            <w:r>
              <w:rPr>
                <w:rFonts w:ascii="Calibri" w:hAnsi="Calibri"/>
                <w:b/>
                <w:color w:val="30A46C"/>
                <w:sz w:val="22"/>
              </w:rPr>
              <w:t>Beat</w:t>
            </w:r>
          </w:p>
        </w:tc>
        <w:tc>
          <w:tcPr>
            <w:tcW w:type="dxa" w:w="960"/>
          </w:tcPr>
          <w:p>
            <w:r>
              <w:rPr>
                <w:rFonts w:ascii="Calibri" w:hAnsi="Calibri"/>
                <w:sz w:val="22"/>
              </w:rPr>
              <w:t>39K</w:t>
            </w:r>
          </w:p>
        </w:tc>
        <w:tc>
          <w:tcPr>
            <w:tcW w:type="dxa" w:w="960"/>
          </w:tcPr>
          <w:p>
            <w:r>
              <w:rPr>
                <w:rFonts w:ascii="Calibri" w:hAnsi="Calibri"/>
                <w:sz w:val="22"/>
              </w:rPr>
              <w:t>26K</w:t>
            </w:r>
          </w:p>
        </w:tc>
        <w:tc>
          <w:tcPr>
            <w:tcW w:type="dxa" w:w="960"/>
          </w:tcPr>
          <w:p>
            <w:r>
              <w:rPr>
                <w:rFonts w:ascii="Calibri" w:hAnsi="Calibri"/>
                <w:b/>
                <w:color w:val="30A46C"/>
                <w:sz w:val="22"/>
              </w:rPr>
              <w:t>+50%</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$1.09</w:t>
            </w:r>
          </w:p>
        </w:tc>
        <w:tc>
          <w:tcPr>
            <w:tcW w:type="dxa" w:w="960"/>
          </w:tcPr>
          <w:p>
            <w:r>
              <w:rPr>
                <w:rFonts w:ascii="Calibri" w:hAnsi="Calibri"/>
                <w:sz w:val="22"/>
              </w:rPr>
              <w:t>$1.06</w:t>
            </w:r>
          </w:p>
        </w:tc>
        <w:tc>
          <w:tcPr>
            <w:tcW w:type="dxa" w:w="960"/>
          </w:tcPr>
          <w:p>
            <w:r>
              <w:rPr>
                <w:rFonts w:ascii="Calibri" w:hAnsi="Calibri"/>
                <w:sz w:val="22"/>
              </w:rPr>
              <w:t>+2.8%</w:t>
            </w:r>
          </w:p>
        </w:tc>
        <w:tc>
          <w:tcPr>
            <w:tcW w:type="dxa" w:w="960"/>
          </w:tcPr>
          <w:p>
            <w:r>
              <w:rPr>
                <w:rFonts w:ascii="Calibri" w:hAnsi="Calibri"/>
                <w:b/>
                <w:color w:val="30A46C"/>
                <w:sz w:val="22"/>
              </w:rPr>
              <w:t>Beat</w:t>
            </w:r>
          </w:p>
        </w:tc>
        <w:tc>
          <w:tcPr>
            <w:tcW w:type="dxa" w:w="960"/>
          </w:tcPr>
          <w:p>
            <w:r>
              <w:rPr>
                <w:rFonts w:ascii="Calibri" w:hAnsi="Calibri"/>
                <w:sz w:val="22"/>
              </w:rPr>
              <w:t>622K</w:t>
            </w:r>
          </w:p>
        </w:tc>
        <w:tc>
          <w:tcPr>
            <w:tcW w:type="dxa" w:w="960"/>
          </w:tcPr>
          <w:p>
            <w:r>
              <w:rPr>
                <w:rFonts w:ascii="Calibri" w:hAnsi="Calibri"/>
                <w:sz w:val="22"/>
              </w:rPr>
              <w:t>436K</w:t>
            </w:r>
          </w:p>
        </w:tc>
        <w:tc>
          <w:tcPr>
            <w:tcW w:type="dxa" w:w="960"/>
          </w:tcPr>
          <w:p>
            <w:r>
              <w:rPr>
                <w:rFonts w:ascii="Calibri" w:hAnsi="Calibri"/>
                <w:b/>
                <w:color w:val="30A46C"/>
                <w:sz w:val="22"/>
              </w:rPr>
              <w:t>+42.7%</w:t>
            </w:r>
          </w:p>
        </w:tc>
        <w:tc>
          <w:tcPr>
            <w:tcW w:type="dxa" w:w="960"/>
          </w:tcPr>
          <w:p>
            <w:r>
              <w:rPr>
                <w:rFonts w:ascii="Calibri" w:hAnsi="Calibri"/>
                <w:b/>
                <w:color w:val="30A46C"/>
                <w:sz w:val="22"/>
              </w:rPr>
              <w:t>Beat</w:t>
            </w:r>
          </w:p>
        </w:tc>
      </w:tr>
      <w:tr>
        <w:tc>
          <w:tcPr>
            <w:tcW w:type="dxa" w:w="960"/>
          </w:tcPr>
          <w:p>
            <w:r>
              <w:rPr>
                <w:rFonts w:ascii="Calibri" w:hAnsi="Calibri"/>
                <w:sz w:val="22"/>
              </w:rPr>
              <w:t>Q1 2026</w:t>
            </w:r>
          </w:p>
        </w:tc>
        <w:tc>
          <w:tcPr>
            <w:tcW w:type="dxa" w:w="960"/>
          </w:tcPr>
          <w:p>
            <w:r>
              <w:rPr>
                <w:rFonts w:ascii="Calibri" w:hAnsi="Calibri"/>
                <w:sz w:val="22"/>
              </w:rPr>
              <w:t>$1.28</w:t>
            </w:r>
          </w:p>
        </w:tc>
        <w:tc>
          <w:tcPr>
            <w:tcW w:type="dxa" w:w="960"/>
          </w:tcPr>
          <w:p>
            <w:r>
              <w:rPr>
                <w:rFonts w:ascii="Calibri" w:hAnsi="Calibri"/>
                <w:sz w:val="22"/>
              </w:rPr>
              <w:t>$1.21</w:t>
            </w:r>
          </w:p>
        </w:tc>
        <w:tc>
          <w:tcPr>
            <w:tcW w:type="dxa" w:w="960"/>
          </w:tcPr>
          <w:p>
            <w:r>
              <w:rPr>
                <w:rFonts w:ascii="Calibri" w:hAnsi="Calibri"/>
                <w:b/>
                <w:color w:val="30A46C"/>
                <w:sz w:val="22"/>
              </w:rPr>
              <w:t>+5.8%</w:t>
            </w:r>
          </w:p>
        </w:tc>
        <w:tc>
          <w:tcPr>
            <w:tcW w:type="dxa" w:w="960"/>
          </w:tcPr>
          <w:p>
            <w:r>
              <w:rPr>
                <w:rFonts w:ascii="Calibri" w:hAnsi="Calibri"/>
                <w:b/>
                <w:color w:val="30A46C"/>
                <w:sz w:val="22"/>
              </w:rPr>
              <w:t>Beat</w:t>
            </w:r>
          </w:p>
        </w:tc>
        <w:tc>
          <w:tcPr>
            <w:tcW w:type="dxa" w:w="960"/>
          </w:tcPr>
          <w:p>
            <w:r>
              <w:rPr>
                <w:rFonts w:ascii="Calibri" w:hAnsi="Calibri"/>
                <w:sz w:val="22"/>
              </w:rPr>
              <w:t>52K</w:t>
            </w:r>
          </w:p>
        </w:tc>
        <w:tc>
          <w:tcPr>
            <w:tcW w:type="dxa" w:w="960"/>
          </w:tcPr>
          <w:p>
            <w:r>
              <w:rPr>
                <w:rFonts w:ascii="Calibri" w:hAnsi="Calibri"/>
                <w:sz w:val="22"/>
              </w:rPr>
              <w:t>-83K</w:t>
            </w:r>
          </w:p>
        </w:tc>
        <w:tc>
          <w:tcPr>
            <w:tcW w:type="dxa" w:w="960"/>
          </w:tcPr>
          <w:p>
            <w:r>
              <w:rPr>
                <w:rFonts w:ascii="Calibri" w:hAnsi="Calibri"/>
                <w:b/>
                <w:color w:val="30A46C"/>
                <w:sz w:val="22"/>
              </w:rPr>
              <w:t>N/M</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VZ has beaten EPS in 6 of the last 8 quarters, with the beats accelerating in magnitude under new CEO Schulman. Postpaid net adds have been more volatile — consistent misses through mid-2025 before a sharp reversal in Q4 2025 and Q1 2026 as the turnaround gained traction.</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 since Q1 earnings; management tone at May conferences was incrementally positive, with CEO Schulman calling the turnaround "probably gaining momentum." The </w:t>
      </w:r>
      <w:r>
        <w:rPr>
          <w:rFonts w:ascii="Calibri" w:hAnsi="Calibri"/>
          <w:b/>
          <w:color w:val="525866"/>
          <w:sz w:val="22"/>
        </w:rPr>
        <w:t>BT JV announcement (June 28)</w:t>
      </w:r>
      <w:r>
        <w:rPr>
          <w:rFonts w:ascii="Calibri" w:hAnsi="Calibri"/>
          <w:color w:val="525866"/>
          <w:sz w:val="22"/>
        </w:rPr>
        <w:t xml:space="preserve"> is the only material post-earnings development affecting reported financials.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Mobility &amp; Broadband Svc Rev Growth</w:t>
            </w:r>
          </w:p>
        </w:tc>
        <w:tc>
          <w:tcPr>
            <w:tcW w:type="dxa" w:w="1728"/>
          </w:tcPr>
          <w:p>
            <w:r>
              <w:rPr>
                <w:rFonts w:ascii="Calibri" w:hAnsi="Calibri"/>
                <w:sz w:val="22"/>
              </w:rPr>
              <w:t>+2–3% FY2026; Q1 was low point</w:t>
            </w:r>
          </w:p>
        </w:tc>
        <w:tc>
          <w:tcPr>
            <w:tcW w:type="dxa" w:w="1728"/>
          </w:tcPr>
          <w:p>
            <w:r>
              <w:rPr>
                <w:rFonts w:ascii="Calibri" w:hAnsi="Calibri"/>
                <w:sz w:val="22"/>
              </w:rPr>
              <w:t>—</w:t>
            </w:r>
          </w:p>
        </w:tc>
        <w:tc>
          <w:tcPr>
            <w:tcW w:type="dxa" w:w="1728"/>
          </w:tcPr>
          <w:p>
            <w:r>
              <w:rPr>
                <w:rFonts w:ascii="Calibri" w:hAnsi="Calibri"/>
                <w:sz w:val="22"/>
              </w:rPr>
              <w:t>~+2–3%</w:t>
            </w:r>
          </w:p>
        </w:tc>
        <w:tc>
          <w:tcPr>
            <w:tcW w:type="dxa" w:w="1728"/>
          </w:tcPr>
          <w:p>
            <w:r>
              <w:rPr>
                <w:rFonts w:ascii="Calibri" w:hAnsi="Calibri"/>
                <w:sz w:val="22"/>
              </w:rPr>
              <w:t>Reaffirmed; Q1 was guided as the trough</w:t>
            </w:r>
          </w:p>
        </w:tc>
      </w:tr>
      <w:tr>
        <w:tc>
          <w:tcPr>
            <w:tcW w:type="dxa" w:w="1728"/>
          </w:tcPr>
          <w:p>
            <w:r>
              <w:rPr>
                <w:rFonts w:ascii="Calibri" w:hAnsi="Calibri"/>
                <w:sz w:val="22"/>
              </w:rPr>
              <w:t>Adjusted EPS Growth</w:t>
            </w:r>
          </w:p>
        </w:tc>
        <w:tc>
          <w:tcPr>
            <w:tcW w:type="dxa" w:w="1728"/>
          </w:tcPr>
          <w:p>
            <w:r>
              <w:rPr>
                <w:rFonts w:ascii="Calibri" w:hAnsi="Calibri"/>
                <w:sz w:val="22"/>
              </w:rPr>
              <w:t>+5–6% FY2026 (raised from +4–5%)</w:t>
            </w:r>
          </w:p>
        </w:tc>
        <w:tc>
          <w:tcPr>
            <w:tcW w:type="dxa" w:w="1728"/>
          </w:tcPr>
          <w:p>
            <w:r>
              <w:rPr>
                <w:rFonts w:ascii="Calibri" w:hAnsi="Calibri"/>
                <w:sz w:val="22"/>
              </w:rPr>
              <w:t>—</w:t>
            </w:r>
          </w:p>
        </w:tc>
        <w:tc>
          <w:tcPr>
            <w:tcW w:type="dxa" w:w="1728"/>
          </w:tcPr>
          <w:p>
            <w:r>
              <w:rPr>
                <w:rFonts w:ascii="Calibri" w:hAnsi="Calibri"/>
                <w:sz w:val="22"/>
              </w:rPr>
              <w:t>~+5–6%</w:t>
            </w:r>
          </w:p>
        </w:tc>
        <w:tc>
          <w:tcPr>
            <w:tcW w:type="dxa" w:w="1728"/>
          </w:tcPr>
          <w:p>
            <w:r>
              <w:rPr>
                <w:rFonts w:ascii="Calibri" w:hAnsi="Calibri"/>
                <w:sz w:val="22"/>
              </w:rPr>
              <w:t>Raised at Q1 earnings; no further revision</w:t>
            </w:r>
          </w:p>
        </w:tc>
      </w:tr>
      <w:tr>
        <w:tc>
          <w:tcPr>
            <w:tcW w:type="dxa" w:w="1728"/>
          </w:tcPr>
          <w:p>
            <w:r>
              <w:rPr>
                <w:rFonts w:ascii="Calibri" w:hAnsi="Calibri"/>
                <w:sz w:val="22"/>
              </w:rPr>
              <w:t>Free Cash Flow</w:t>
            </w:r>
          </w:p>
        </w:tc>
        <w:tc>
          <w:tcPr>
            <w:tcW w:type="dxa" w:w="1728"/>
          </w:tcPr>
          <w:p>
            <w:r>
              <w:rPr>
                <w:rFonts w:ascii="Calibri" w:hAnsi="Calibri"/>
                <w:sz w:val="22"/>
              </w:rPr>
              <w:t>$21.5B+ FY2026 (+7%+)</w:t>
            </w:r>
          </w:p>
        </w:tc>
        <w:tc>
          <w:tcPr>
            <w:tcW w:type="dxa" w:w="1728"/>
          </w:tcPr>
          <w:p>
            <w:r>
              <w:rPr>
                <w:rFonts w:ascii="Calibri" w:hAnsi="Calibri"/>
                <w:sz w:val="22"/>
              </w:rPr>
              <w:t>—</w:t>
            </w:r>
          </w:p>
        </w:tc>
        <w:tc>
          <w:tcPr>
            <w:tcW w:type="dxa" w:w="1728"/>
          </w:tcPr>
          <w:p>
            <w:r>
              <w:rPr>
                <w:rFonts w:ascii="Calibri" w:hAnsi="Calibri"/>
                <w:sz w:val="22"/>
              </w:rPr>
              <w:t>$21.77B</w:t>
            </w:r>
          </w:p>
        </w:tc>
        <w:tc>
          <w:tcPr>
            <w:tcW w:type="dxa" w:w="1728"/>
          </w:tcPr>
          <w:p>
            <w:r>
              <w:rPr>
                <w:rFonts w:ascii="Calibri" w:hAnsi="Calibri"/>
                <w:sz w:val="22"/>
              </w:rPr>
              <w:t>Reaffirmed; consensus above guidance floor</w:t>
            </w:r>
          </w:p>
        </w:tc>
      </w:tr>
      <w:tr>
        <w:tc>
          <w:tcPr>
            <w:tcW w:type="dxa" w:w="1728"/>
          </w:tcPr>
          <w:p>
            <w:r>
              <w:rPr>
                <w:rFonts w:ascii="Calibri" w:hAnsi="Calibri"/>
                <w:sz w:val="22"/>
              </w:rPr>
              <w:t>CapEx</w:t>
            </w:r>
          </w:p>
        </w:tc>
        <w:tc>
          <w:tcPr>
            <w:tcW w:type="dxa" w:w="1728"/>
          </w:tcPr>
          <w:p>
            <w:r>
              <w:rPr>
                <w:rFonts w:ascii="Calibri" w:hAnsi="Calibri"/>
                <w:sz w:val="22"/>
              </w:rPr>
              <w:t>$16.0–16.5B FY2026</w:t>
            </w:r>
          </w:p>
        </w:tc>
        <w:tc>
          <w:tcPr>
            <w:tcW w:type="dxa" w:w="1728"/>
          </w:tcPr>
          <w:p>
            <w:r>
              <w:rPr>
                <w:rFonts w:ascii="Calibri" w:hAnsi="Calibri"/>
                <w:sz w:val="22"/>
              </w:rPr>
              <w:t>—</w:t>
            </w:r>
          </w:p>
        </w:tc>
        <w:tc>
          <w:tcPr>
            <w:tcW w:type="dxa" w:w="1728"/>
          </w:tcPr>
          <w:p>
            <w:r>
              <w:rPr>
                <w:rFonts w:ascii="Calibri" w:hAnsi="Calibri"/>
                <w:sz w:val="22"/>
              </w:rPr>
              <w:t>$16.33B</w:t>
            </w:r>
          </w:p>
        </w:tc>
        <w:tc>
          <w:tcPr>
            <w:tcW w:type="dxa" w:w="1728"/>
          </w:tcPr>
          <w:p>
            <w:r>
              <w:rPr>
                <w:rFonts w:ascii="Calibri" w:hAnsi="Calibri"/>
                <w:sz w:val="22"/>
              </w:rPr>
              <w:t>Reaffirmed; on track</w:t>
            </w:r>
          </w:p>
        </w:tc>
      </w:tr>
      <w:tr>
        <w:tc>
          <w:tcPr>
            <w:tcW w:type="dxa" w:w="1728"/>
          </w:tcPr>
          <w:p>
            <w:r>
              <w:rPr>
                <w:rFonts w:ascii="Calibri" w:hAnsi="Calibri"/>
                <w:sz w:val="22"/>
              </w:rPr>
              <w:t>Postpaid Phone Net Adds</w:t>
            </w:r>
          </w:p>
        </w:tc>
        <w:tc>
          <w:tcPr>
            <w:tcW w:type="dxa" w:w="1728"/>
          </w:tcPr>
          <w:p>
            <w:r>
              <w:rPr>
                <w:rFonts w:ascii="Calibri" w:hAnsi="Calibri"/>
                <w:sz w:val="22"/>
              </w:rPr>
              <w:t>Upper half of 750K–1M range FY2026</w:t>
            </w:r>
          </w:p>
        </w:tc>
        <w:tc>
          <w:tcPr>
            <w:tcW w:type="dxa" w:w="1728"/>
          </w:tcPr>
          <w:p>
            <w:r>
              <w:rPr>
                <w:rFonts w:ascii="Calibri" w:hAnsi="Calibri"/>
                <w:sz w:val="22"/>
              </w:rPr>
              <w:t>—</w:t>
            </w:r>
          </w:p>
        </w:tc>
        <w:tc>
          <w:tcPr>
            <w:tcW w:type="dxa" w:w="1728"/>
          </w:tcPr>
          <w:p>
            <w:r>
              <w:rPr>
                <w:rFonts w:ascii="Calibri" w:hAnsi="Calibri"/>
                <w:sz w:val="22"/>
              </w:rPr>
              <w:t>~926K</w:t>
            </w:r>
          </w:p>
        </w:tc>
        <w:tc>
          <w:tcPr>
            <w:tcW w:type="dxa" w:w="1728"/>
          </w:tcPr>
          <w:p>
            <w:r>
              <w:rPr>
                <w:rFonts w:ascii="Calibri" w:hAnsi="Calibri"/>
                <w:sz w:val="22"/>
              </w:rPr>
              <w:t>Raised to upper half at Q1 earnings; no further revision</w:t>
            </w:r>
          </w:p>
        </w:tc>
      </w:tr>
      <w:tr>
        <w:tc>
          <w:tcPr>
            <w:tcW w:type="dxa" w:w="1728"/>
          </w:tcPr>
          <w:p>
            <w:r>
              <w:rPr>
                <w:rFonts w:ascii="Calibri" w:hAnsi="Calibri"/>
                <w:sz w:val="22"/>
              </w:rPr>
              <w:t>OpEx Savings</w:t>
            </w:r>
          </w:p>
        </w:tc>
        <w:tc>
          <w:tcPr>
            <w:tcW w:type="dxa" w:w="1728"/>
          </w:tcPr>
          <w:p>
            <w:r>
              <w:rPr>
                <w:rFonts w:ascii="Calibri" w:hAnsi="Calibri"/>
                <w:sz w:val="22"/>
              </w:rPr>
              <w:t>$5B target FY2026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CEO flagged potential upside to target at May conferences</w:t>
            </w:r>
          </w:p>
        </w:tc>
      </w:tr>
      <w:tr>
        <w:tc>
          <w:tcPr>
            <w:tcW w:type="dxa" w:w="1728"/>
          </w:tcPr>
          <w:p>
            <w:r>
              <w:rPr>
                <w:rFonts w:ascii="Calibri" w:hAnsi="Calibri"/>
                <w:sz w:val="22"/>
              </w:rPr>
              <w:t>Q2 2026 Reported EBITDA Impact</w:t>
            </w:r>
          </w:p>
        </w:tc>
        <w:tc>
          <w:tcPr>
            <w:tcW w:type="dxa" w:w="1728"/>
          </w:tcPr>
          <w:p>
            <w:r>
              <w:rPr>
                <w:rFonts w:ascii="Calibri" w:hAnsi="Calibri"/>
                <w:sz w:val="22"/>
              </w:rPr>
              <w:t>N/A</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BT JV loss ($700–800M) + severance ($350–450M) + asset charges ($200–300M) will weigh on reported; adjusted should be cleaner</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Q1 earnings on one-time charge noise, but the FY trajectory is essentially unchanged — the turnaround thesis is intact. The gap between current consensus and guidance midpoints is tight, suggesting </w:t>
      </w:r>
      <w:r>
        <w:rPr>
          <w:rFonts w:ascii="Calibri" w:hAnsi="Calibri"/>
          <w:b/>
          <w:color w:val="525866"/>
          <w:sz w:val="22"/>
        </w:rPr>
        <w:t>limited cushion if execution slips</w:t>
      </w:r>
      <w:r>
        <w:rPr>
          <w:rFonts w:ascii="Calibri" w:hAnsi="Calibri"/>
          <w:color w:val="525866"/>
          <w:sz w:val="22"/>
        </w:rPr>
        <w: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Diluted EPS — Q2 2026</w:t>
            </w:r>
          </w:p>
        </w:tc>
        <w:tc>
          <w:tcPr>
            <w:tcW w:type="dxa" w:w="1080"/>
          </w:tcPr>
          <w:p>
            <w:r>
              <w:rPr>
                <w:rFonts w:ascii="Calibri" w:hAnsi="Calibri"/>
                <w:sz w:val="22"/>
              </w:rPr>
              <w:t>$1.27</w:t>
            </w:r>
          </w:p>
        </w:tc>
        <w:tc>
          <w:tcPr>
            <w:tcW w:type="dxa" w:w="1080"/>
          </w:tcPr>
          <w:p>
            <w:r>
              <w:rPr>
                <w:rFonts w:ascii="Calibri" w:hAnsi="Calibri"/>
                <w:sz w:val="22"/>
              </w:rPr>
              <w:t>$1.26</w:t>
            </w:r>
          </w:p>
        </w:tc>
        <w:tc>
          <w:tcPr>
            <w:tcW w:type="dxa" w:w="1080"/>
          </w:tcPr>
          <w:p>
            <w:r>
              <w:rPr>
                <w:rFonts w:ascii="Calibri" w:hAnsi="Calibri"/>
                <w:b/>
                <w:color w:val="E5484D"/>
                <w:sz w:val="22"/>
              </w:rPr>
              <w:t>-1.4%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EPS — FY2026</w:t>
            </w:r>
          </w:p>
        </w:tc>
        <w:tc>
          <w:tcPr>
            <w:tcW w:type="dxa" w:w="1080"/>
          </w:tcPr>
          <w:p>
            <w:r>
              <w:rPr>
                <w:rFonts w:ascii="Calibri" w:hAnsi="Calibri"/>
                <w:sz w:val="22"/>
              </w:rPr>
              <w:t>$4.96</w:t>
            </w:r>
          </w:p>
        </w:tc>
        <w:tc>
          <w:tcPr>
            <w:tcW w:type="dxa" w:w="1080"/>
          </w:tcPr>
          <w:p>
            <w:r>
              <w:rPr>
                <w:rFonts w:ascii="Calibri" w:hAnsi="Calibri"/>
                <w:sz w:val="22"/>
              </w:rPr>
              <w:t>$4.95</w:t>
            </w:r>
          </w:p>
        </w:tc>
        <w:tc>
          <w:tcPr>
            <w:tcW w:type="dxa" w:w="1080"/>
          </w:tcPr>
          <w:p>
            <w:r>
              <w:rPr>
                <w:rFonts w:ascii="Calibri" w:hAnsi="Calibri"/>
                <w:sz w:val="22"/>
              </w:rPr>
              <w:t>-0.2%</w:t>
            </w:r>
          </w:p>
        </w:tc>
        <w:tc>
          <w:tcPr>
            <w:tcW w:type="dxa" w:w="1080"/>
          </w:tcPr>
          <w:p>
            <w:r>
              <w:rPr>
                <w:rFonts w:ascii="Calibri" w:hAnsi="Calibri"/>
                <w:sz w:val="22"/>
              </w:rPr>
              <w:t>+5–6% growth (~$4.93–5.00)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Total Revenue — Q2 2026</w:t>
            </w:r>
          </w:p>
        </w:tc>
        <w:tc>
          <w:tcPr>
            <w:tcW w:type="dxa" w:w="1080"/>
          </w:tcPr>
          <w:p>
            <w:r>
              <w:rPr>
                <w:rFonts w:ascii="Calibri" w:hAnsi="Calibri"/>
                <w:sz w:val="22"/>
              </w:rPr>
              <w:t>$35.61B</w:t>
            </w:r>
          </w:p>
        </w:tc>
        <w:tc>
          <w:tcPr>
            <w:tcW w:type="dxa" w:w="1080"/>
          </w:tcPr>
          <w:p>
            <w:r>
              <w:rPr>
                <w:rFonts w:ascii="Calibri" w:hAnsi="Calibri"/>
                <w:sz w:val="22"/>
              </w:rPr>
              <w:t>$35.29B</w:t>
            </w:r>
          </w:p>
        </w:tc>
        <w:tc>
          <w:tcPr>
            <w:tcW w:type="dxa" w:w="1080"/>
          </w:tcPr>
          <w:p>
            <w:r>
              <w:rPr>
                <w:rFonts w:ascii="Calibri" w:hAnsi="Calibri"/>
                <w:b/>
                <w:color w:val="E5484D"/>
                <w:sz w:val="22"/>
              </w:rPr>
              <w:t>-0.9%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$142.98B</w:t>
            </w:r>
          </w:p>
        </w:tc>
        <w:tc>
          <w:tcPr>
            <w:tcW w:type="dxa" w:w="1080"/>
          </w:tcPr>
          <w:p>
            <w:r>
              <w:rPr>
                <w:rFonts w:ascii="Calibri" w:hAnsi="Calibri"/>
                <w:sz w:val="22"/>
              </w:rPr>
              <w:t>$142.47B</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Consumer Wireless Svc Rev — Q2 2026</w:t>
            </w:r>
          </w:p>
        </w:tc>
        <w:tc>
          <w:tcPr>
            <w:tcW w:type="dxa" w:w="1080"/>
          </w:tcPr>
          <w:p>
            <w:r>
              <w:rPr>
                <w:rFonts w:ascii="Calibri" w:hAnsi="Calibri"/>
                <w:sz w:val="22"/>
              </w:rPr>
              <w:t>$17.24B</w:t>
            </w:r>
          </w:p>
        </w:tc>
        <w:tc>
          <w:tcPr>
            <w:tcW w:type="dxa" w:w="1080"/>
          </w:tcPr>
          <w:p>
            <w:r>
              <w:rPr>
                <w:rFonts w:ascii="Calibri" w:hAnsi="Calibri"/>
                <w:sz w:val="22"/>
              </w:rPr>
              <w:t>$17.28B</w:t>
            </w:r>
          </w:p>
        </w:tc>
        <w:tc>
          <w:tcPr>
            <w:tcW w:type="dxa" w:w="1080"/>
          </w:tcPr>
          <w:p>
            <w:r>
              <w:rPr>
                <w:rFonts w:ascii="Calibri" w:hAnsi="Calibri"/>
                <w:b/>
                <w:color w:val="30A46C"/>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Consumer Wireless Svc Rev — FY2026</w:t>
            </w:r>
          </w:p>
        </w:tc>
        <w:tc>
          <w:tcPr>
            <w:tcW w:type="dxa" w:w="1080"/>
          </w:tcPr>
          <w:p>
            <w:r>
              <w:rPr>
                <w:rFonts w:ascii="Calibri" w:hAnsi="Calibri"/>
                <w:sz w:val="22"/>
              </w:rPr>
              <w:t>$69.12B</w:t>
            </w:r>
          </w:p>
        </w:tc>
        <w:tc>
          <w:tcPr>
            <w:tcW w:type="dxa" w:w="1080"/>
          </w:tcPr>
          <w:p>
            <w:r>
              <w:rPr>
                <w:rFonts w:ascii="Calibri" w:hAnsi="Calibri"/>
                <w:sz w:val="22"/>
              </w:rPr>
              <w:t>$69.24B</w:t>
            </w:r>
          </w:p>
        </w:tc>
        <w:tc>
          <w:tcPr>
            <w:tcW w:type="dxa" w:w="1080"/>
          </w:tcPr>
          <w:p>
            <w:r>
              <w:rPr>
                <w:rFonts w:ascii="Calibri" w:hAnsi="Calibri"/>
                <w:b/>
                <w:color w:val="30A46C"/>
                <w:sz w:val="22"/>
              </w:rPr>
              <w:t>+0.2%</w:t>
            </w:r>
          </w:p>
        </w:tc>
        <w:tc>
          <w:tcPr>
            <w:tcW w:type="dxa" w:w="1080"/>
          </w:tcPr>
          <w:p>
            <w:r>
              <w:rPr>
                <w:rFonts w:ascii="Calibri" w:hAnsi="Calibri"/>
                <w:sz w:val="22"/>
              </w:rPr>
              <w:t>+2–3%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Adjusted EBITDA — Q2 2026</w:t>
            </w:r>
          </w:p>
        </w:tc>
        <w:tc>
          <w:tcPr>
            <w:tcW w:type="dxa" w:w="1080"/>
          </w:tcPr>
          <w:p>
            <w:r>
              <w:rPr>
                <w:rFonts w:ascii="Calibri" w:hAnsi="Calibri"/>
                <w:sz w:val="22"/>
              </w:rPr>
              <w:t>$13.64B</w:t>
            </w:r>
          </w:p>
        </w:tc>
        <w:tc>
          <w:tcPr>
            <w:tcW w:type="dxa" w:w="1080"/>
          </w:tcPr>
          <w:p>
            <w:r>
              <w:rPr>
                <w:rFonts w:ascii="Calibri" w:hAnsi="Calibri"/>
                <w:sz w:val="22"/>
              </w:rPr>
              <w:t>$13.64B</w:t>
            </w:r>
          </w:p>
        </w:tc>
        <w:tc>
          <w:tcPr>
            <w:tcW w:type="dxa" w:w="1080"/>
          </w:tcPr>
          <w:p>
            <w:r>
              <w:rPr>
                <w:rFonts w:ascii="Calibri" w:hAnsi="Calibri"/>
                <w:sz w:val="22"/>
              </w:rPr>
              <w:t>0.0%</w:t>
            </w:r>
          </w:p>
        </w:tc>
        <w:tc>
          <w:tcPr>
            <w:tcW w:type="dxa" w:w="1080"/>
          </w:tcPr>
          <w:p>
            <w:r>
              <w:rPr>
                <w:rFonts w:ascii="Calibri" w:hAnsi="Calibri"/>
                <w:sz w:val="22"/>
              </w:rPr>
              <w:t>Growing faster than adj. EPS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Adjusted EBITDA — FY2026</w:t>
            </w:r>
          </w:p>
        </w:tc>
        <w:tc>
          <w:tcPr>
            <w:tcW w:type="dxa" w:w="1080"/>
          </w:tcPr>
          <w:p>
            <w:r>
              <w:rPr>
                <w:rFonts w:ascii="Calibri" w:hAnsi="Calibri"/>
                <w:sz w:val="22"/>
              </w:rPr>
              <w:t>$53.46B</w:t>
            </w:r>
          </w:p>
        </w:tc>
        <w:tc>
          <w:tcPr>
            <w:tcW w:type="dxa" w:w="1080"/>
          </w:tcPr>
          <w:p>
            <w:r>
              <w:rPr>
                <w:rFonts w:ascii="Calibri" w:hAnsi="Calibri"/>
                <w:sz w:val="22"/>
              </w:rPr>
              <w:t>$53.55B</w:t>
            </w:r>
          </w:p>
        </w:tc>
        <w:tc>
          <w:tcPr>
            <w:tcW w:type="dxa" w:w="1080"/>
          </w:tcPr>
          <w:p>
            <w:r>
              <w:rPr>
                <w:rFonts w:ascii="Calibri" w:hAnsi="Calibri"/>
                <w:b/>
                <w:color w:val="30A46C"/>
                <w:sz w:val="22"/>
              </w:rPr>
              <w:t>+0.2%</w:t>
            </w:r>
          </w:p>
        </w:tc>
        <w:tc>
          <w:tcPr>
            <w:tcW w:type="dxa" w:w="1080"/>
          </w:tcPr>
          <w:p>
            <w:r>
              <w:rPr>
                <w:rFonts w:ascii="Calibri" w:hAnsi="Calibri"/>
                <w:sz w:val="22"/>
              </w:rPr>
              <w:t>Growing faster than adj. EPS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Q2 2026</w:t>
            </w:r>
          </w:p>
        </w:tc>
        <w:tc>
          <w:tcPr>
            <w:tcW w:type="dxa" w:w="1080"/>
          </w:tcPr>
          <w:p>
            <w:r>
              <w:rPr>
                <w:rFonts w:ascii="Calibri" w:hAnsi="Calibri"/>
                <w:sz w:val="22"/>
              </w:rPr>
              <w:t>$5.50B</w:t>
            </w:r>
          </w:p>
        </w:tc>
        <w:tc>
          <w:tcPr>
            <w:tcW w:type="dxa" w:w="1080"/>
          </w:tcPr>
          <w:p>
            <w:r>
              <w:rPr>
                <w:rFonts w:ascii="Calibri" w:hAnsi="Calibri"/>
                <w:sz w:val="22"/>
              </w:rPr>
              <w:t>$5.35B</w:t>
            </w:r>
          </w:p>
        </w:tc>
        <w:tc>
          <w:tcPr>
            <w:tcW w:type="dxa" w:w="1080"/>
          </w:tcPr>
          <w:p>
            <w:r>
              <w:rPr>
                <w:rFonts w:ascii="Calibri" w:hAnsi="Calibri"/>
                <w:b/>
                <w:color w:val="E5484D"/>
                <w:sz w:val="22"/>
              </w:rPr>
              <w:t>-2.7%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 FY2026</w:t>
            </w:r>
          </w:p>
        </w:tc>
        <w:tc>
          <w:tcPr>
            <w:tcW w:type="dxa" w:w="1080"/>
          </w:tcPr>
          <w:p>
            <w:r>
              <w:rPr>
                <w:rFonts w:ascii="Calibri" w:hAnsi="Calibri"/>
                <w:sz w:val="22"/>
              </w:rPr>
              <w:t>$21.67B</w:t>
            </w:r>
          </w:p>
        </w:tc>
        <w:tc>
          <w:tcPr>
            <w:tcW w:type="dxa" w:w="1080"/>
          </w:tcPr>
          <w:p>
            <w:r>
              <w:rPr>
                <w:rFonts w:ascii="Calibri" w:hAnsi="Calibri"/>
                <w:sz w:val="22"/>
              </w:rPr>
              <w:t>$21.77B</w:t>
            </w:r>
          </w:p>
        </w:tc>
        <w:tc>
          <w:tcPr>
            <w:tcW w:type="dxa" w:w="1080"/>
          </w:tcPr>
          <w:p>
            <w:r>
              <w:rPr>
                <w:rFonts w:ascii="Calibri" w:hAnsi="Calibri"/>
                <w:b/>
                <w:color w:val="30A46C"/>
                <w:sz w:val="22"/>
              </w:rPr>
              <w:t>+0.5%</w:t>
            </w:r>
          </w:p>
        </w:tc>
        <w:tc>
          <w:tcPr>
            <w:tcW w:type="dxa" w:w="1080"/>
          </w:tcPr>
          <w:p>
            <w:r>
              <w:rPr>
                <w:rFonts w:ascii="Calibri" w:hAnsi="Calibri"/>
                <w:sz w:val="22"/>
              </w:rPr>
              <w:t>$21.5B+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guidance floor</w:t>
            </w:r>
          </w:p>
        </w:tc>
      </w:tr>
      <w:tr>
        <w:tc>
          <w:tcPr>
            <w:tcW w:type="dxa" w:w="1080"/>
          </w:tcPr>
          <w:p>
            <w:r>
              <w:rPr>
                <w:rFonts w:ascii="Calibri" w:hAnsi="Calibri"/>
                <w:sz w:val="22"/>
              </w:rPr>
              <w:t>Postpaid Net Adds — Q2 2026</w:t>
            </w:r>
          </w:p>
        </w:tc>
        <w:tc>
          <w:tcPr>
            <w:tcW w:type="dxa" w:w="1080"/>
          </w:tcPr>
          <w:p>
            <w:r>
              <w:rPr>
                <w:rFonts w:ascii="Calibri" w:hAnsi="Calibri"/>
                <w:sz w:val="22"/>
              </w:rPr>
              <w:t>123K</w:t>
            </w:r>
          </w:p>
        </w:tc>
        <w:tc>
          <w:tcPr>
            <w:tcW w:type="dxa" w:w="1080"/>
          </w:tcPr>
          <w:p>
            <w:r>
              <w:rPr>
                <w:rFonts w:ascii="Calibri" w:hAnsi="Calibri"/>
                <w:sz w:val="22"/>
              </w:rPr>
              <w:t>112K</w:t>
            </w:r>
          </w:p>
        </w:tc>
        <w:tc>
          <w:tcPr>
            <w:tcW w:type="dxa" w:w="1080"/>
          </w:tcPr>
          <w:p>
            <w:r>
              <w:rPr>
                <w:rFonts w:ascii="Calibri" w:hAnsi="Calibri"/>
                <w:b/>
                <w:color w:val="E5484D"/>
                <w:sz w:val="22"/>
              </w:rPr>
              <w:t>-8.9%</w:t>
            </w:r>
          </w:p>
        </w:tc>
        <w:tc>
          <w:tcPr>
            <w:tcW w:type="dxa" w:w="1080"/>
          </w:tcPr>
          <w:p>
            <w:r>
              <w:rPr>
                <w:rFonts w:ascii="Calibri" w:hAnsi="Calibri"/>
                <w:sz w:val="22"/>
              </w:rPr>
              <w:t>Upper half of 750K–1M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most notable drift is in Q2 postpaid net adds (-8.9% from the post-Q1 baseline), likely reflecting conservatism around the BT JV noise and one-time charges. EPS and revenue estimates are essentially flat. The FY free cash flow consensus of $21.77B sits above the $21.5B+ guidance floor, suggesting the Street is giving credit to the efficiency story.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VZ has </w:t>
      </w:r>
      <w:r>
        <w:rPr>
          <w:rFonts w:ascii="Calibri" w:hAnsi="Calibri"/>
          <w:b/>
          <w:color w:val="525866"/>
          <w:sz w:val="22"/>
        </w:rPr>
        <w:t>outperformed its sector (XLC) since Q1 earnings</w:t>
      </w:r>
      <w:r>
        <w:rPr>
          <w:rFonts w:ascii="Calibri" w:hAnsi="Calibri"/>
          <w:color w:val="525866"/>
          <w:sz w:val="22"/>
        </w:rPr>
        <w:t xml:space="preserve"> but lagged the broad market (SPY). The stock's decline is largely sector-driven rather than company-specific — the turnaround narrative has held, but Communication Services broadly de-rated. The BT JV announcement (June 28) and retail store divestiture news (July 16) created short-term volatility but did not break the trend.</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VZ vs XLC (Communication Services ETF) vs S&amp;P 500 — Indexed to 100 at Q1 2026 Earnings (Apr 27, 2026). Source: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Security</w:t>
            </w:r>
          </w:p>
        </w:tc>
        <w:tc>
          <w:tcPr>
            <w:tcW w:type="dxa" w:w="1728"/>
            <w:shd w:val="clear" w:color="auto" w:fill="3B4259"/>
          </w:tcPr>
          <w:p>
            <w:r>
              <w:rPr>
                <w:rFonts w:ascii="Calibri" w:hAnsi="Calibri"/>
                <w:b/>
                <w:color w:val="FFFFFF"/>
                <w:sz w:val="22"/>
              </w:rPr>
              <w:t>Apr 27 Close</w:t>
            </w:r>
          </w:p>
        </w:tc>
        <w:tc>
          <w:tcPr>
            <w:tcW w:type="dxa" w:w="1728"/>
            <w:shd w:val="clear" w:color="auto" w:fill="3B4259"/>
          </w:tcPr>
          <w:p>
            <w:r>
              <w:rPr>
                <w:rFonts w:ascii="Calibri" w:hAnsi="Calibri"/>
                <w:b/>
                <w:color w:val="FFFFFF"/>
                <w:sz w:val="22"/>
              </w:rPr>
              <w:t>Jul 22 Close</w:t>
            </w:r>
          </w:p>
        </w:tc>
        <w:tc>
          <w:tcPr>
            <w:tcW w:type="dxa" w:w="1728"/>
            <w:shd w:val="clear" w:color="auto" w:fill="3B4259"/>
          </w:tcPr>
          <w:p>
            <w:r>
              <w:rPr>
                <w:rFonts w:ascii="Calibri" w:hAnsi="Calibri"/>
                <w:b/>
                <w:color w:val="FFFFFF"/>
                <w:sz w:val="22"/>
              </w:rPr>
              <w:t>Return Since Q1 Earnings</w:t>
            </w:r>
          </w:p>
        </w:tc>
        <w:tc>
          <w:tcPr>
            <w:tcW w:type="dxa" w:w="1728"/>
            <w:shd w:val="clear" w:color="auto" w:fill="3B4259"/>
          </w:tcPr>
          <w:p>
            <w:r>
              <w:rPr>
                <w:rFonts w:ascii="Calibri" w:hAnsi="Calibri"/>
                <w:b/>
                <w:color w:val="FFFFFF"/>
                <w:sz w:val="22"/>
              </w:rPr>
              <w:t>vs. XLC</w:t>
            </w:r>
          </w:p>
        </w:tc>
      </w:tr>
      <w:tr>
        <w:tc>
          <w:tcPr>
            <w:tcW w:type="dxa" w:w="1728"/>
          </w:tcPr>
          <w:p>
            <w:r>
              <w:rPr>
                <w:rFonts w:ascii="Calibri" w:hAnsi="Calibri"/>
                <w:sz w:val="22"/>
              </w:rPr>
              <w:t>VZ</w:t>
            </w:r>
          </w:p>
        </w:tc>
        <w:tc>
          <w:tcPr>
            <w:tcW w:type="dxa" w:w="1728"/>
          </w:tcPr>
          <w:p>
            <w:r>
              <w:rPr>
                <w:rFonts w:ascii="Calibri" w:hAnsi="Calibri"/>
                <w:sz w:val="22"/>
              </w:rPr>
              <w:t>$47.10</w:t>
            </w:r>
          </w:p>
        </w:tc>
        <w:tc>
          <w:tcPr>
            <w:tcW w:type="dxa" w:w="1728"/>
          </w:tcPr>
          <w:p>
            <w:r>
              <w:rPr>
                <w:rFonts w:ascii="Calibri" w:hAnsi="Calibri"/>
                <w:sz w:val="22"/>
              </w:rPr>
              <w:t>$44.29</w:t>
            </w:r>
          </w:p>
        </w:tc>
        <w:tc>
          <w:tcPr>
            <w:tcW w:type="dxa" w:w="1728"/>
          </w:tcPr>
          <w:p>
            <w:r>
              <w:rPr>
                <w:rFonts w:ascii="Calibri" w:hAnsi="Calibri"/>
                <w:b/>
                <w:color w:val="E5484D"/>
                <w:sz w:val="22"/>
              </w:rPr>
              <w:t>-6.96%</w:t>
            </w:r>
          </w:p>
        </w:tc>
        <w:tc>
          <w:tcPr>
            <w:tcW w:type="dxa" w:w="1728"/>
          </w:tcPr>
          <w:p>
            <w:r>
              <w:rPr>
                <w:rFonts w:ascii="Calibri" w:hAnsi="Calibri"/>
                <w:sz w:val="22"/>
              </w:rPr>
              <w:t>+205bps outperformance</w:t>
            </w:r>
          </w:p>
        </w:tc>
      </w:tr>
      <w:tr>
        <w:tc>
          <w:tcPr>
            <w:tcW w:type="dxa" w:w="1728"/>
          </w:tcPr>
          <w:p>
            <w:r>
              <w:rPr>
                <w:rFonts w:ascii="Calibri" w:hAnsi="Calibri"/>
                <w:sz w:val="22"/>
              </w:rPr>
              <w:t>XLC (Comm. Services ETF)</w:t>
            </w:r>
          </w:p>
        </w:tc>
        <w:tc>
          <w:tcPr>
            <w:tcW w:type="dxa" w:w="1728"/>
          </w:tcPr>
          <w:p>
            <w:r>
              <w:rPr>
                <w:rFonts w:ascii="Calibri" w:hAnsi="Calibri"/>
                <w:sz w:val="22"/>
              </w:rPr>
              <w:t>$115.81</w:t>
            </w:r>
          </w:p>
        </w:tc>
        <w:tc>
          <w:tcPr>
            <w:tcW w:type="dxa" w:w="1728"/>
          </w:tcPr>
          <w:p>
            <w:r>
              <w:rPr>
                <w:rFonts w:ascii="Calibri" w:hAnsi="Calibri"/>
                <w:sz w:val="22"/>
              </w:rPr>
              <w:t>$109.20</w:t>
            </w:r>
          </w:p>
        </w:tc>
        <w:tc>
          <w:tcPr>
            <w:tcW w:type="dxa" w:w="1728"/>
          </w:tcPr>
          <w:p>
            <w:r>
              <w:rPr>
                <w:rFonts w:ascii="Calibri" w:hAnsi="Calibri"/>
                <w:b/>
                <w:color w:val="E5484D"/>
                <w:sz w:val="22"/>
              </w:rPr>
              <w:t>-9.01%</w:t>
            </w:r>
          </w:p>
        </w:tc>
        <w:tc>
          <w:tcPr>
            <w:tcW w:type="dxa" w:w="1728"/>
          </w:tcPr>
          <w:p>
            <w:r>
              <w:rPr>
                <w:rFonts w:ascii="Calibri" w:hAnsi="Calibri"/>
                <w:sz w:val="22"/>
              </w:rPr>
              <w:t>—</w:t>
            </w:r>
          </w:p>
        </w:tc>
      </w:tr>
      <w:tr>
        <w:tc>
          <w:tcPr>
            <w:tcW w:type="dxa" w:w="1728"/>
          </w:tcPr>
          <w:p>
            <w:r>
              <w:rPr>
                <w:rFonts w:ascii="Calibri" w:hAnsi="Calibri"/>
                <w:sz w:val="22"/>
              </w:rPr>
              <w:t>SPY (S&amp;P 500)</w:t>
            </w:r>
          </w:p>
        </w:tc>
        <w:tc>
          <w:tcPr>
            <w:tcW w:type="dxa" w:w="1728"/>
          </w:tcPr>
          <w:p>
            <w:r>
              <w:rPr>
                <w:rFonts w:ascii="Calibri" w:hAnsi="Calibri"/>
                <w:sz w:val="22"/>
              </w:rPr>
              <w:t>$715.17</w:t>
            </w:r>
          </w:p>
        </w:tc>
        <w:tc>
          <w:tcPr>
            <w:tcW w:type="dxa" w:w="1728"/>
          </w:tcPr>
          <w:p>
            <w:r>
              <w:rPr>
                <w:rFonts w:ascii="Calibri" w:hAnsi="Calibri"/>
                <w:sz w:val="22"/>
              </w:rPr>
              <w:t>$747.41</w:t>
            </w:r>
          </w:p>
        </w:tc>
        <w:tc>
          <w:tcPr>
            <w:tcW w:type="dxa" w:w="1728"/>
          </w:tcPr>
          <w:p>
            <w:r>
              <w:rPr>
                <w:rFonts w:ascii="Calibri" w:hAnsi="Calibri"/>
                <w:b/>
                <w:color w:val="30A46C"/>
                <w:sz w:val="22"/>
              </w:rPr>
              <w:t>+3.22%</w:t>
            </w:r>
          </w:p>
        </w:tc>
        <w:tc>
          <w:tcPr>
            <w:tcW w:type="dxa" w:w="1728"/>
          </w:tcPr>
          <w:p>
            <w:r>
              <w:rPr>
                <w:rFonts w:ascii="Calibri" w:hAnsi="Calibri"/>
                <w:sz w:val="22"/>
              </w:rPr>
              <w:t>—</w:t>
            </w:r>
          </w:p>
        </w:tc>
      </w:tr>
    </w:tbl>
    <w:p>
      <w:pPr>
        <w:pStyle w:val="ListBullet"/>
        <w:ind w:left="360" w:hanging="360"/>
      </w:pPr>
      <w:r>
        <w:rPr>
          <w:rFonts w:ascii="Calibri" w:hAnsi="Calibri"/>
          <w:b/>
          <w:color w:val="525866"/>
          <w:sz w:val="22"/>
        </w:rPr>
        <w:t>May 13–18:</w:t>
      </w:r>
      <w:r>
        <w:rPr>
          <w:rFonts w:ascii="Calibri" w:hAnsi="Calibri"/>
          <w:color w:val="525866"/>
          <w:sz w:val="22"/>
        </w:rPr>
        <w:t xml:space="preserve"> Conference circuit (Moffett Nathanson &amp; JPM TMT) — CEO Schulman bullish, called turnaround "probably gaining momentum." Stock held near post-earnings levels.</w:t>
      </w:r>
    </w:p>
    <w:p>
      <w:pPr>
        <w:pStyle w:val="ListBullet"/>
        <w:ind w:left="360" w:hanging="360"/>
      </w:pPr>
      <w:r>
        <w:rPr>
          <w:rFonts w:ascii="Calibri" w:hAnsi="Calibri"/>
          <w:b/>
          <w:color w:val="525866"/>
          <w:sz w:val="22"/>
        </w:rPr>
        <w:t>June 17:</w:t>
      </w:r>
      <w:r>
        <w:rPr>
          <w:rFonts w:ascii="Calibri" w:hAnsi="Calibri"/>
          <w:color w:val="525866"/>
          <w:sz w:val="22"/>
        </w:rPr>
        <w:t xml:space="preserve"> BT JV debt exchange filing — minor negative reaction as market digested the transaction structure.</w:t>
      </w:r>
    </w:p>
    <w:p>
      <w:pPr>
        <w:pStyle w:val="ListBullet"/>
        <w:ind w:left="360" w:hanging="360"/>
      </w:pPr>
      <w:r>
        <w:rPr>
          <w:rFonts w:ascii="Calibri" w:hAnsi="Calibri"/>
          <w:b/>
          <w:color w:val="525866"/>
          <w:sz w:val="22"/>
        </w:rPr>
        <w:t>June 28:</w:t>
      </w:r>
      <w:r>
        <w:rPr>
          <w:rFonts w:ascii="Calibri" w:hAnsi="Calibri"/>
          <w:color w:val="525866"/>
          <w:sz w:val="22"/>
        </w:rPr>
        <w:t xml:space="preserve"> BT JV agreement announced — $700–800M estimated Q2 loss disclosed; stock sold off ~3% on the day as investors parsed the one-time charge.</w:t>
      </w:r>
    </w:p>
    <w:p>
      <w:pPr>
        <w:pStyle w:val="ListBullet"/>
        <w:ind w:left="360" w:hanging="360"/>
      </w:pPr>
      <w:r>
        <w:rPr>
          <w:rFonts w:ascii="Calibri" w:hAnsi="Calibri"/>
          <w:b/>
          <w:color w:val="525866"/>
          <w:sz w:val="22"/>
        </w:rPr>
        <w:t>July 16:</w:t>
      </w:r>
      <w:r>
        <w:rPr>
          <w:rFonts w:ascii="Calibri" w:hAnsi="Calibri"/>
          <w:color w:val="525866"/>
          <w:sz w:val="22"/>
        </w:rPr>
        <w:t xml:space="preserve"> Retail store divestiture / ~3,000 layoffs announced — stock recovered modestly as the market viewed this as consistent with the $5B OpEx savings target.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BT JV (announced June 28)</w:t>
      </w:r>
      <w:r>
        <w:rPr>
          <w:rFonts w:ascii="Calibri" w:hAnsi="Calibri"/>
          <w:color w:val="525866"/>
          <w:sz w:val="22"/>
        </w:rPr>
        <w:t xml:space="preserve"> is the most material post-earnings development — it will create a one-time loss in Q2 reported results but is accretive to Business Group EBITDA on an adjusted basis. The </w:t>
      </w:r>
      <w:r>
        <w:rPr>
          <w:rFonts w:ascii="Calibri" w:hAnsi="Calibri"/>
          <w:b/>
          <w:color w:val="525866"/>
          <w:sz w:val="22"/>
        </w:rPr>
        <w:t>retail store divestiture and layoffs (July 16)</w:t>
      </w:r>
      <w:r>
        <w:rPr>
          <w:rFonts w:ascii="Calibri" w:hAnsi="Calibri"/>
          <w:color w:val="525866"/>
          <w:sz w:val="22"/>
        </w:rPr>
        <w:t xml:space="preserve"> reinforce the $5B OpEx savings trajectory.</w:t>
      </w:r>
    </w:p>
    <w:p>
      <w:pPr>
        <w:pStyle w:val="ListBullet"/>
        <w:ind w:left="360" w:hanging="360"/>
      </w:pPr>
      <w:r>
        <w:rPr>
          <w:rFonts w:ascii="Calibri" w:hAnsi="Calibri"/>
          <w:b/>
          <w:color w:val="525866"/>
          <w:sz w:val="22"/>
        </w:rPr>
        <w:t>June 28, 2026 — BT Group Joint Venture:</w:t>
      </w:r>
      <w:r>
        <w:rPr>
          <w:rFonts w:ascii="Calibri" w:hAnsi="Calibri"/>
          <w:color w:val="525866"/>
          <w:sz w:val="22"/>
        </w:rPr>
        <w:t xml:space="preserve"> VZ entered a 50/50 JV with BT Group, contributing its international wireline connectivity and managed network services business. VZ will make a $625M cash payment to BT. The transaction will result in an estimated </w:t>
      </w:r>
      <w:r>
        <w:rPr>
          <w:rFonts w:ascii="Calibri" w:hAnsi="Calibri"/>
          <w:b/>
          <w:color w:val="525866"/>
          <w:sz w:val="22"/>
        </w:rPr>
        <w:t>$700–800M loss in Q2 2026 reported results</w:t>
      </w:r>
      <w:r>
        <w:rPr>
          <w:rFonts w:ascii="Calibri" w:hAnsi="Calibri"/>
          <w:color w:val="525866"/>
          <w:sz w:val="22"/>
        </w:rPr>
        <w:t xml:space="preserve"> due to reclassification as assets held for sale. However, the transaction is accretive to Verizon Business Group EBITDA as the contributed business moves to Corporate and Other. Regulatory approvals pending. </w:t>
      </w:r>
      <w:r>
        <w:rPr>
          <w:rFonts w:ascii="Calibri" w:hAnsi="Calibri"/>
          <w:i/>
          <w:color w:val="525866"/>
          <w:sz w:val="22"/>
        </w:rPr>
        <w:t>Implication:</w:t>
      </w:r>
      <w:r>
        <w:rPr>
          <w:rFonts w:ascii="Calibri" w:hAnsi="Calibri"/>
          <w:color w:val="525866"/>
          <w:sz w:val="22"/>
        </w:rPr>
        <w:t xml:space="preserve"> Reported Q2 EBITDA will be depressed; adjusted EBITDA should be cleaner. Watch for management commentary on the strategic rationale and timeline.</w:t>
      </w:r>
    </w:p>
    <w:p>
      <w:pPr>
        <w:pStyle w:val="ListBullet"/>
        <w:ind w:left="360" w:hanging="360"/>
      </w:pPr>
      <w:r>
        <w:rPr>
          <w:rFonts w:ascii="Calibri" w:hAnsi="Calibri"/>
          <w:b/>
          <w:color w:val="525866"/>
          <w:sz w:val="22"/>
        </w:rPr>
        <w:t>July 16, 2026 — Retail Store Divestiture &amp; Layoffs:</w:t>
      </w:r>
      <w:r>
        <w:rPr>
          <w:rFonts w:ascii="Calibri" w:hAnsi="Calibri"/>
          <w:color w:val="525866"/>
          <w:sz w:val="22"/>
        </w:rPr>
        <w:t xml:space="preserve"> VZ announced plans to divest 274 corporate-owned retail stores to franchise owners, retaining ~1,000 stores. This will result in </w:t>
      </w:r>
      <w:r>
        <w:rPr>
          <w:rFonts w:ascii="Calibri" w:hAnsi="Calibri"/>
          <w:b/>
          <w:color w:val="525866"/>
          <w:sz w:val="22"/>
        </w:rPr>
        <w:t>~3,000 layoffs</w:t>
      </w:r>
      <w:r>
        <w:rPr>
          <w:rFonts w:ascii="Calibri" w:hAnsi="Calibri"/>
          <w:color w:val="525866"/>
          <w:sz w:val="22"/>
        </w:rPr>
        <w:t xml:space="preserve"> (~2,500 from store divestiture, ~500 corporate). </w:t>
      </w:r>
      <w:r>
        <w:rPr>
          <w:rFonts w:ascii="Calibri" w:hAnsi="Calibri"/>
          <w:i/>
          <w:color w:val="525866"/>
          <w:sz w:val="22"/>
        </w:rPr>
        <w:t>Implication:</w:t>
      </w:r>
      <w:r>
        <w:rPr>
          <w:rFonts w:ascii="Calibri" w:hAnsi="Calibri"/>
          <w:color w:val="525866"/>
          <w:sz w:val="22"/>
        </w:rPr>
        <w:t xml:space="preserve"> Reinforces the $5B OpEx savings target; management may quantify the annualized savings contribution on the call.</w:t>
      </w:r>
    </w:p>
    <w:p>
      <w:pPr>
        <w:pStyle w:val="ListBullet"/>
        <w:ind w:left="360" w:hanging="360"/>
      </w:pPr>
      <w:r>
        <w:rPr>
          <w:rFonts w:ascii="Calibri" w:hAnsi="Calibri"/>
          <w:b/>
          <w:color w:val="525866"/>
          <w:sz w:val="22"/>
        </w:rPr>
        <w:t>June 29, 2026 — Q2 Pre-Announcement (8-K):</w:t>
      </w:r>
      <w:r>
        <w:rPr>
          <w:rFonts w:ascii="Calibri" w:hAnsi="Calibri"/>
          <w:color w:val="525866"/>
          <w:sz w:val="22"/>
        </w:rPr>
        <w:t xml:space="preserve"> VZ disclosed expected Q2 charges: </w:t>
      </w:r>
      <w:r>
        <w:rPr>
          <w:rFonts w:ascii="Calibri" w:hAnsi="Calibri"/>
          <w:b/>
          <w:color w:val="525866"/>
          <w:sz w:val="22"/>
        </w:rPr>
        <w:t>severance of $350–450M</w:t>
      </w:r>
      <w:r>
        <w:rPr>
          <w:rFonts w:ascii="Calibri" w:hAnsi="Calibri"/>
          <w:color w:val="525866"/>
          <w:sz w:val="22"/>
        </w:rPr>
        <w:t xml:space="preserve"> and </w:t>
      </w:r>
      <w:r>
        <w:rPr>
          <w:rFonts w:ascii="Calibri" w:hAnsi="Calibri"/>
          <w:b/>
          <w:color w:val="525866"/>
          <w:sz w:val="22"/>
        </w:rPr>
        <w:t>asset rationalization charges of $200–300M</w:t>
      </w:r>
      <w:r>
        <w:rPr>
          <w:rFonts w:ascii="Calibri" w:hAnsi="Calibri"/>
          <w:color w:val="525866"/>
          <w:sz w:val="22"/>
        </w:rPr>
        <w:t xml:space="preserve">. These are non-recurring transformation costs. </w:t>
      </w:r>
      <w:r>
        <w:rPr>
          <w:rFonts w:ascii="Calibri" w:hAnsi="Calibri"/>
          <w:i/>
          <w:color w:val="525866"/>
          <w:sz w:val="22"/>
        </w:rPr>
        <w:t>Implication:</w:t>
      </w:r>
      <w:r>
        <w:rPr>
          <w:rFonts w:ascii="Calibri" w:hAnsi="Calibri"/>
          <w:color w:val="525866"/>
          <w:sz w:val="22"/>
        </w:rPr>
        <w:t xml:space="preserve"> Adjusted EPS should strip these out; watch for the adjusted vs. reported reconciliation.</w:t>
      </w:r>
    </w:p>
    <w:p>
      <w:pPr>
        <w:pStyle w:val="ListBullet"/>
        <w:ind w:left="360" w:hanging="360"/>
      </w:pPr>
      <w:r>
        <w:rPr>
          <w:rFonts w:ascii="Calibri" w:hAnsi="Calibri"/>
          <w:b/>
          <w:color w:val="525866"/>
          <w:sz w:val="22"/>
        </w:rPr>
        <w:t>May 14, 2026 — $4B Junior Subordinated Notes Offering:</w:t>
      </w:r>
      <w:r>
        <w:rPr>
          <w:rFonts w:ascii="Calibri" w:hAnsi="Calibri"/>
          <w:color w:val="525866"/>
          <w:sz w:val="22"/>
        </w:rPr>
        <w:t xml:space="preserve"> VZ raised $4B through junior subordinated notes, likely to fund Frontier debt paydown (management guided to repay substantially all Frontier debt by year-end). </w:t>
      </w:r>
      <w:r>
        <w:rPr>
          <w:rFonts w:ascii="Calibri" w:hAnsi="Calibri"/>
          <w:i/>
          <w:color w:val="525866"/>
          <w:sz w:val="22"/>
        </w:rPr>
        <w:t>Implication:</w:t>
      </w:r>
      <w:r>
        <w:rPr>
          <w:rFonts w:ascii="Calibri" w:hAnsi="Calibri"/>
          <w:color w:val="525866"/>
          <w:sz w:val="22"/>
        </w:rPr>
        <w:t xml:space="preserve"> Leverage trajectory on track; watch for updated net debt/EBITDA commentary.</w:t>
      </w:r>
    </w:p>
    <w:p>
      <w:pPr>
        <w:pStyle w:val="ListBullet"/>
        <w:ind w:left="360" w:hanging="360"/>
      </w:pPr>
      <w:r>
        <w:rPr>
          <w:rFonts w:ascii="Calibri" w:hAnsi="Calibri"/>
          <w:b/>
          <w:color w:val="525866"/>
          <w:sz w:val="22"/>
        </w:rPr>
        <w:t>May 13–18, 2026 — Conference Circuit (Moffett Nathanson &amp; JPM TMT):</w:t>
      </w:r>
      <w:r>
        <w:rPr>
          <w:rFonts w:ascii="Calibri" w:hAnsi="Calibri"/>
          <w:color w:val="525866"/>
          <w:sz w:val="22"/>
        </w:rPr>
        <w:t xml:space="preserve"> CEO Schulman reiterated turnaround confidence, flagged churn exiting Q1 at 85bps, and described the transformation as "a bit further ahead than expected." No formal guidance revision. </w:t>
      </w:r>
      <w:r>
        <w:rPr>
          <w:rFonts w:ascii="Calibri" w:hAnsi="Calibri"/>
          <w:i/>
          <w:color w:val="525866"/>
          <w:sz w:val="22"/>
        </w:rPr>
        <w:t>Implication:</w:t>
      </w:r>
      <w:r>
        <w:rPr>
          <w:rFonts w:ascii="Calibri" w:hAnsi="Calibri"/>
          <w:color w:val="525866"/>
          <w:sz w:val="22"/>
        </w:rPr>
        <w:t xml:space="preserve"> Management tone heading into Q2 was constructive.</w:t>
      </w:r>
    </w:p>
    <w:p>
      <w:pPr>
        <w:pStyle w:val="ListBullet"/>
        <w:ind w:left="360" w:hanging="360"/>
      </w:pPr>
      <w:r>
        <w:rPr>
          <w:rFonts w:ascii="Calibri" w:hAnsi="Calibri"/>
          <w:b/>
          <w:color w:val="525866"/>
          <w:sz w:val="22"/>
        </w:rPr>
        <w:t>July 24, 2026 — Earnings Date:</w:t>
      </w:r>
      <w:r>
        <w:rPr>
          <w:rFonts w:ascii="Calibri" w:hAnsi="Calibri"/>
          <w:color w:val="525866"/>
          <w:sz w:val="22"/>
        </w:rPr>
        <w:t xml:space="preserve"> VZ reports Q2 2026 before market open. Consensus EPS: $1.26; Consensus Revenue: $35.29B.</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Both AT&amp;T and T-Mobile reported strong Q2 2026 results with </w:t>
      </w:r>
      <w:r>
        <w:rPr>
          <w:rFonts w:ascii="Calibri" w:hAnsi="Calibri"/>
          <w:b/>
          <w:color w:val="525866"/>
          <w:sz w:val="22"/>
        </w:rPr>
        <w:t>positive read-throughs for VZ</w:t>
      </w:r>
      <w:r>
        <w:rPr>
          <w:rFonts w:ascii="Calibri" w:hAnsi="Calibri"/>
          <w:color w:val="525866"/>
          <w:sz w:val="22"/>
        </w:rPr>
        <w:t xml:space="preserve"> — industry churn is settling, promotional intensity has stabilized, and broadband demand remains robust. The competitive environment is rational, which supports VZ's strategy of reducing promotional spend while growing net adds through churn improvement.</w:t>
      </w:r>
    </w:p>
    <w:p>
      <w:r>
        <w:rPr>
          <w:rFonts w:ascii="Calibri" w:hAnsi="Calibri"/>
          <w:i/>
          <w:color w:val="525866"/>
          <w:sz w:val="22"/>
        </w:rPr>
        <w:t xml:space="preserve">Note: </w:t>
      </w:r>
      <w:r>
        <w:rPr>
          <w:rFonts w:ascii="Calibri" w:hAnsi="Calibri"/>
          <w:i/>
          <w:color w:val="525866"/>
          <w:sz w:val="22"/>
        </w:rPr>
        <w:t>All commentary below is from Q2 2026 earnings calls (AT&amp;T reported July 22, T-Mobile reported July 23) and Q2-focused conference commentary (Evercore TMT June 2, Mizuho June 9). Only forward-looking or current-quarter commentary is included.</w:t>
      </w:r>
    </w:p>
    <w:p>
      <w:pPr>
        <w:pStyle w:val="Heading3"/>
      </w:pPr>
      <w:r>
        <w:rPr>
          <w:rFonts w:ascii="Calibri" w:hAnsi="Calibri"/>
          <w:b/>
          <w:color w:val="3B4259"/>
          <w:sz w:val="24"/>
        </w:rPr>
        <w:t>AT&amp;T (T) — Q2 2026 Earnings (Reported July 22, 2026)</w:t>
      </w:r>
    </w:p>
    <w:p>
      <w:pPr>
        <w:pStyle w:val="ListBullet"/>
        <w:ind w:left="360" w:hanging="360"/>
      </w:pPr>
      <w:r>
        <w:rPr>
          <w:rFonts w:ascii="Calibri" w:hAnsi="Calibri"/>
          <w:b/>
          <w:color w:val="525866"/>
          <w:sz w:val="22"/>
        </w:rPr>
        <w:t>Postpaid Phone Net Adds:</w:t>
      </w:r>
      <w:r>
        <w:rPr>
          <w:rFonts w:ascii="Calibri" w:hAnsi="Calibri"/>
          <w:color w:val="525866"/>
          <w:sz w:val="22"/>
        </w:rPr>
        <w:t xml:space="preserve"> AT&amp;T added </w:t>
      </w:r>
      <w:r>
        <w:rPr>
          <w:rFonts w:ascii="Calibri" w:hAnsi="Calibri"/>
          <w:b/>
          <w:color w:val="525866"/>
          <w:sz w:val="22"/>
        </w:rPr>
        <w:t>432,000 postpaid phone net adds</w:t>
      </w:r>
      <w:r>
        <w:rPr>
          <w:rFonts w:ascii="Calibri" w:hAnsi="Calibri"/>
          <w:color w:val="525866"/>
          <w:sz w:val="22"/>
        </w:rPr>
        <w:t xml:space="preserve"> in Q2 2026, its best result in more than three years for new consumer postpaid wireless accounts (147K new accounts). Growth is "increasingly driven by new accounts and not simply additional lines of service." </w:t>
      </w:r>
      <w:r>
        <w:rPr>
          <w:rFonts w:ascii="Calibri" w:hAnsi="Calibri"/>
          <w:i/>
          <w:color w:val="525866"/>
          <w:sz w:val="22"/>
        </w:rPr>
        <w:t>Read-through:</w:t>
      </w:r>
      <w:r>
        <w:rPr>
          <w:rFonts w:ascii="Calibri" w:hAnsi="Calibri"/>
          <w:color w:val="525866"/>
          <w:sz w:val="22"/>
        </w:rPr>
        <w:t xml:space="preserve"> Strong industry demand for postpaid wireless; VZ's ~112K consensus looks achievable in this environment.</w:t>
      </w:r>
    </w:p>
    <w:p>
      <w:pPr>
        <w:pStyle w:val="ListBullet"/>
        <w:ind w:left="360" w:hanging="360"/>
      </w:pPr>
      <w:r>
        <w:rPr>
          <w:rFonts w:ascii="Calibri" w:hAnsi="Calibri"/>
          <w:b/>
          <w:color w:val="525866"/>
          <w:sz w:val="22"/>
        </w:rPr>
        <w:t>Churn Settling:</w:t>
      </w:r>
      <w:r>
        <w:rPr>
          <w:rFonts w:ascii="Calibri" w:hAnsi="Calibri"/>
          <w:color w:val="525866"/>
          <w:sz w:val="22"/>
        </w:rPr>
        <w:t xml:space="preserve"> AT&amp;T noted that "churn seems to be settling down both for you as you forecast at the beginning of the year and also seemingly for the industry after accelerating in 2025." Management also noted that "less device upgrading activity generally helps to reduce churn." </w:t>
      </w:r>
      <w:r>
        <w:rPr>
          <w:rFonts w:ascii="Calibri" w:hAnsi="Calibri"/>
          <w:i/>
          <w:color w:val="525866"/>
          <w:sz w:val="22"/>
        </w:rPr>
        <w:t>Read-through:</w:t>
      </w:r>
      <w:r>
        <w:rPr>
          <w:rFonts w:ascii="Calibri" w:hAnsi="Calibri"/>
          <w:color w:val="525866"/>
          <w:sz w:val="22"/>
        </w:rPr>
        <w:t xml:space="preserve"> Directly positive for VZ's churn improvement thesis — industry-wide churn normalization supports VZ's guided trajectory.</w:t>
      </w:r>
    </w:p>
    <w:p>
      <w:pPr>
        <w:pStyle w:val="ListBullet"/>
        <w:ind w:left="360" w:hanging="360"/>
      </w:pPr>
      <w:r>
        <w:rPr>
          <w:rFonts w:ascii="Calibri" w:hAnsi="Calibri"/>
          <w:b/>
          <w:color w:val="525866"/>
          <w:sz w:val="22"/>
        </w:rPr>
        <w:t>Wireless Service Revenue:</w:t>
      </w:r>
      <w:r>
        <w:rPr>
          <w:rFonts w:ascii="Calibri" w:hAnsi="Calibri"/>
          <w:color w:val="525866"/>
          <w:sz w:val="22"/>
        </w:rPr>
        <w:t xml:space="preserve"> AT&amp;T wireless service revenues grew </w:t>
      </w:r>
      <w:r>
        <w:rPr>
          <w:rFonts w:ascii="Calibri" w:hAnsi="Calibri"/>
          <w:b/>
          <w:color w:val="525866"/>
          <w:sz w:val="22"/>
        </w:rPr>
        <w:t>3.3% YoY</w:t>
      </w:r>
      <w:r>
        <w:rPr>
          <w:rFonts w:ascii="Calibri" w:hAnsi="Calibri"/>
          <w:color w:val="525866"/>
          <w:sz w:val="22"/>
        </w:rPr>
        <w:t xml:space="preserve">, driven by customer base growth and pricing actions. </w:t>
      </w:r>
      <w:r>
        <w:rPr>
          <w:rFonts w:ascii="Calibri" w:hAnsi="Calibri"/>
          <w:i/>
          <w:color w:val="525866"/>
          <w:sz w:val="22"/>
        </w:rPr>
        <w:t>Read-through:</w:t>
      </w:r>
      <w:r>
        <w:rPr>
          <w:rFonts w:ascii="Calibri" w:hAnsi="Calibri"/>
          <w:color w:val="525866"/>
          <w:sz w:val="22"/>
        </w:rPr>
        <w:t xml:space="preserve"> Healthy industry revenue growth; VZ's guided 2–3% growth looks conservative by comparison.</w:t>
      </w:r>
    </w:p>
    <w:p>
      <w:pPr>
        <w:pStyle w:val="ListBullet"/>
        <w:ind w:left="360" w:hanging="360"/>
      </w:pPr>
      <w:r>
        <w:rPr>
          <w:rFonts w:ascii="Calibri" w:hAnsi="Calibri"/>
          <w:b/>
          <w:color w:val="525866"/>
          <w:sz w:val="22"/>
        </w:rPr>
        <w:t>Promotional Environment:</w:t>
      </w:r>
      <w:r>
        <w:rPr>
          <w:rFonts w:ascii="Calibri" w:hAnsi="Calibri"/>
          <w:color w:val="525866"/>
          <w:sz w:val="22"/>
        </w:rPr>
        <w:t xml:space="preserve"> AT&amp;T noted promotional activity "stepped up a bit" from last year but has "stabilized" as players rationally assess LTVs. </w:t>
      </w:r>
      <w:r>
        <w:rPr>
          <w:rFonts w:ascii="Calibri" w:hAnsi="Calibri"/>
          <w:i/>
          <w:color w:val="525866"/>
          <w:sz w:val="22"/>
        </w:rPr>
        <w:t>Read-through:</w:t>
      </w:r>
      <w:r>
        <w:rPr>
          <w:rFonts w:ascii="Calibri" w:hAnsi="Calibri"/>
          <w:color w:val="525866"/>
          <w:sz w:val="22"/>
        </w:rPr>
        <w:t xml:space="preserve"> Rational competitive environment supports VZ's strategy of reducing cost of acquisition and retention.</w:t>
      </w:r>
    </w:p>
    <w:p>
      <w:pPr>
        <w:pStyle w:val="ListBullet"/>
        <w:ind w:left="360" w:hanging="360"/>
      </w:pPr>
      <w:r>
        <w:rPr>
          <w:rFonts w:ascii="Calibri" w:hAnsi="Calibri"/>
          <w:b/>
          <w:color w:val="525866"/>
          <w:sz w:val="22"/>
        </w:rPr>
        <w:t>Convergence:</w:t>
      </w:r>
      <w:r>
        <w:rPr>
          <w:rFonts w:ascii="Calibri" w:hAnsi="Calibri"/>
          <w:color w:val="525866"/>
          <w:sz w:val="22"/>
        </w:rPr>
        <w:t xml:space="preserve"> AT&amp;T's converged customers show "lower churn, outstanding brand affinity, higher lifetime values." AT&amp;T expects convergence to "drive continued strong net additions in advanced home internet and postpaid phone subscribers during Q3." </w:t>
      </w:r>
      <w:r>
        <w:rPr>
          <w:rFonts w:ascii="Calibri" w:hAnsi="Calibri"/>
          <w:i/>
          <w:color w:val="525866"/>
          <w:sz w:val="22"/>
        </w:rPr>
        <w:t>Read-through:</w:t>
      </w:r>
      <w:r>
        <w:rPr>
          <w:rFonts w:ascii="Calibri" w:hAnsi="Calibri"/>
          <w:color w:val="525866"/>
          <w:sz w:val="22"/>
        </w:rPr>
        <w:t xml:space="preserve"> Validates VZ's convergence strategy; VZ's 55% wireless attachment rate for broadband customers is best-in-industry.</w:t>
      </w:r>
    </w:p>
    <w:p>
      <w:pPr>
        <w:pStyle w:val="ListBullet"/>
        <w:ind w:left="360" w:hanging="360"/>
      </w:pPr>
      <w:r>
        <w:rPr>
          <w:rFonts w:ascii="Calibri" w:hAnsi="Calibri"/>
          <w:b/>
          <w:color w:val="525866"/>
          <w:sz w:val="22"/>
        </w:rPr>
        <w:t>Device Costs:</w:t>
      </w:r>
      <w:r>
        <w:rPr>
          <w:rFonts w:ascii="Calibri" w:hAnsi="Calibri"/>
          <w:color w:val="525866"/>
          <w:sz w:val="22"/>
        </w:rPr>
        <w:t xml:space="preserve"> AT&amp;T flagged rising device costs (Apple indications + memory costs), expecting "prices are going to go up and demand will probably be suppressed in some way." </w:t>
      </w:r>
      <w:r>
        <w:rPr>
          <w:rFonts w:ascii="Calibri" w:hAnsi="Calibri"/>
          <w:i/>
          <w:color w:val="525866"/>
          <w:sz w:val="22"/>
        </w:rPr>
        <w:t>Read-through:</w:t>
      </w:r>
      <w:r>
        <w:rPr>
          <w:rFonts w:ascii="Calibri" w:hAnsi="Calibri"/>
          <w:color w:val="525866"/>
          <w:sz w:val="22"/>
        </w:rPr>
        <w:t xml:space="preserve"> Higher device prices could reduce upgrade activity, which AT&amp;T noted "oftentimes helps on churn" — a secondary positive for VZ's churn improvement.</w:t>
      </w:r>
    </w:p>
    <w:p>
      <w:pPr>
        <w:pStyle w:val="ListBullet"/>
        <w:ind w:left="360" w:hanging="360"/>
      </w:pPr>
      <w:r>
        <w:rPr>
          <w:rFonts w:ascii="Calibri" w:hAnsi="Calibri"/>
          <w:b/>
          <w:color w:val="525866"/>
          <w:sz w:val="22"/>
        </w:rPr>
        <w:t>AI Traffic:</w:t>
      </w:r>
      <w:r>
        <w:rPr>
          <w:rFonts w:ascii="Calibri" w:hAnsi="Calibri"/>
          <w:color w:val="525866"/>
          <w:sz w:val="22"/>
        </w:rPr>
        <w:t xml:space="preserve"> AT&amp;T highlighted that "Agentic AI is fundamentally reshaping network traffic" with AI agents generating "up to 450% more total traffic per task than a human," projecting 9x enterprise and 7x consumer traffic growth by 2035. </w:t>
      </w:r>
      <w:r>
        <w:rPr>
          <w:rFonts w:ascii="Calibri" w:hAnsi="Calibri"/>
          <w:i/>
          <w:color w:val="525866"/>
          <w:sz w:val="22"/>
        </w:rPr>
        <w:t>Read-through:</w:t>
      </w:r>
      <w:r>
        <w:rPr>
          <w:rFonts w:ascii="Calibri" w:hAnsi="Calibri"/>
          <w:color w:val="525866"/>
          <w:sz w:val="22"/>
        </w:rPr>
        <w:t xml:space="preserve"> Validates VZ's AI infrastructure monetization thesis and the long-term value of its fiber and 5G assets.</w:t>
      </w:r>
    </w:p>
    <w:p>
      <w:pPr>
        <w:pStyle w:val="Heading3"/>
      </w:pPr>
      <w:r>
        <w:rPr>
          <w:rFonts w:ascii="Calibri" w:hAnsi="Calibri"/>
          <w:b/>
          <w:color w:val="3B4259"/>
          <w:sz w:val="24"/>
        </w:rPr>
        <w:t>T-Mobile (TMUS) — Q2 2026 Earnings (Reported July 23, 2026)</w:t>
      </w:r>
    </w:p>
    <w:p>
      <w:pPr>
        <w:pStyle w:val="ListBullet"/>
        <w:ind w:left="360" w:hanging="360"/>
      </w:pPr>
      <w:r>
        <w:rPr>
          <w:rFonts w:ascii="Calibri" w:hAnsi="Calibri"/>
          <w:b/>
          <w:color w:val="525866"/>
          <w:sz w:val="22"/>
        </w:rPr>
        <w:t>Postpaid Phone Net Adds:</w:t>
      </w:r>
      <w:r>
        <w:rPr>
          <w:rFonts w:ascii="Calibri" w:hAnsi="Calibri"/>
          <w:color w:val="525866"/>
          <w:sz w:val="22"/>
        </w:rPr>
        <w:t xml:space="preserve"> T-Mobile reported </w:t>
      </w:r>
      <w:r>
        <w:rPr>
          <w:rFonts w:ascii="Calibri" w:hAnsi="Calibri"/>
          <w:b/>
          <w:color w:val="525866"/>
          <w:sz w:val="22"/>
        </w:rPr>
        <w:t>277,000 postpaid net additions</w:t>
      </w:r>
      <w:r>
        <w:rPr>
          <w:rFonts w:ascii="Calibri" w:hAnsi="Calibri"/>
          <w:color w:val="525866"/>
          <w:sz w:val="22"/>
        </w:rPr>
        <w:t xml:space="preserve"> in Q2 2026, with postpaid service revenue up 13% YoY. CEO described it as "another extraordinary quarter." </w:t>
      </w:r>
      <w:r>
        <w:rPr>
          <w:rFonts w:ascii="Calibri" w:hAnsi="Calibri"/>
          <w:i/>
          <w:color w:val="525866"/>
          <w:sz w:val="22"/>
        </w:rPr>
        <w:t>Read-through:</w:t>
      </w:r>
      <w:r>
        <w:rPr>
          <w:rFonts w:ascii="Calibri" w:hAnsi="Calibri"/>
          <w:color w:val="525866"/>
          <w:sz w:val="22"/>
        </w:rPr>
        <w:t xml:space="preserve"> T-Mobile continues to take share, but the strong industry backdrop (healthy demand, rational pricing) is a positive read-through for VZ.</w:t>
      </w:r>
    </w:p>
    <w:p>
      <w:pPr>
        <w:pStyle w:val="ListBullet"/>
        <w:ind w:left="360" w:hanging="360"/>
      </w:pPr>
      <w:r>
        <w:rPr>
          <w:rFonts w:ascii="Calibri" w:hAnsi="Calibri"/>
          <w:b/>
          <w:color w:val="525866"/>
          <w:sz w:val="22"/>
        </w:rPr>
        <w:t>Churn:</w:t>
      </w:r>
      <w:r>
        <w:rPr>
          <w:rFonts w:ascii="Calibri" w:hAnsi="Calibri"/>
          <w:color w:val="525866"/>
          <w:sz w:val="22"/>
        </w:rPr>
        <w:t xml:space="preserve"> T-Mobile's postpaid phone churn was </w:t>
      </w:r>
      <w:r>
        <w:rPr>
          <w:rFonts w:ascii="Calibri" w:hAnsi="Calibri"/>
          <w:b/>
          <w:color w:val="525866"/>
          <w:sz w:val="22"/>
        </w:rPr>
        <w:t>0.85%</w:t>
      </w:r>
      <w:r>
        <w:rPr>
          <w:rFonts w:ascii="Calibri" w:hAnsi="Calibri"/>
          <w:color w:val="525866"/>
          <w:sz w:val="22"/>
        </w:rPr>
        <w:t xml:space="preserve"> in Q2 2026, "down year over year significantly." </w:t>
      </w:r>
      <w:r>
        <w:rPr>
          <w:rFonts w:ascii="Calibri" w:hAnsi="Calibri"/>
          <w:i/>
          <w:color w:val="525866"/>
          <w:sz w:val="22"/>
        </w:rPr>
        <w:t>Read-through:</w:t>
      </w:r>
      <w:r>
        <w:rPr>
          <w:rFonts w:ascii="Calibri" w:hAnsi="Calibri"/>
          <w:color w:val="525866"/>
          <w:sz w:val="22"/>
        </w:rPr>
        <w:t xml:space="preserve"> T-Mobile's churn at 0.85% is exactly where VZ exited Q1 — if VZ maintained or improved from that level, it would be a meaningful positive.</w:t>
      </w:r>
    </w:p>
    <w:p>
      <w:pPr>
        <w:pStyle w:val="ListBullet"/>
        <w:ind w:left="360" w:hanging="360"/>
      </w:pPr>
      <w:r>
        <w:rPr>
          <w:rFonts w:ascii="Calibri" w:hAnsi="Calibri"/>
          <w:b/>
          <w:color w:val="525866"/>
          <w:sz w:val="22"/>
        </w:rPr>
        <w:t>ARPA Growth:</w:t>
      </w:r>
      <w:r>
        <w:rPr>
          <w:rFonts w:ascii="Calibri" w:hAnsi="Calibri"/>
          <w:color w:val="525866"/>
          <w:sz w:val="22"/>
        </w:rPr>
        <w:t xml:space="preserve"> T-Mobile's postpaid ARPA grew </w:t>
      </w:r>
      <w:r>
        <w:rPr>
          <w:rFonts w:ascii="Calibri" w:hAnsi="Calibri"/>
          <w:b/>
          <w:color w:val="525866"/>
          <w:sz w:val="22"/>
        </w:rPr>
        <w:t>3.7% YoY (ex-M&amp;A)</w:t>
      </w:r>
      <w:r>
        <w:rPr>
          <w:rFonts w:ascii="Calibri" w:hAnsi="Calibri"/>
          <w:color w:val="525866"/>
          <w:sz w:val="22"/>
        </w:rPr>
        <w:t xml:space="preserve"> in Q2, with CFO guiding "probably going to be more towards the 3% ARPA growth for the full year." Port-in ARPUs exceeded port-out ARPUs by ~20%. </w:t>
      </w:r>
      <w:r>
        <w:rPr>
          <w:rFonts w:ascii="Calibri" w:hAnsi="Calibri"/>
          <w:i/>
          <w:color w:val="525866"/>
          <w:sz w:val="22"/>
        </w:rPr>
        <w:t>Read-through:</w:t>
      </w:r>
      <w:r>
        <w:rPr>
          <w:rFonts w:ascii="Calibri" w:hAnsi="Calibri"/>
          <w:color w:val="525866"/>
          <w:sz w:val="22"/>
        </w:rPr>
        <w:t xml:space="preserve"> Premium customers are choosing to pay more for quality networks — supports VZ's value-based pricing strategy and ARPA recovery thesis.</w:t>
      </w:r>
    </w:p>
    <w:p>
      <w:pPr>
        <w:pStyle w:val="ListBullet"/>
        <w:ind w:left="360" w:hanging="360"/>
      </w:pPr>
      <w:r>
        <w:rPr>
          <w:rFonts w:ascii="Calibri" w:hAnsi="Calibri"/>
          <w:b/>
          <w:color w:val="525866"/>
          <w:sz w:val="22"/>
        </w:rPr>
        <w:t>Promotional Discipline:</w:t>
      </w:r>
      <w:r>
        <w:rPr>
          <w:rFonts w:ascii="Calibri" w:hAnsi="Calibri"/>
          <w:color w:val="525866"/>
          <w:sz w:val="22"/>
        </w:rPr>
        <w:t xml:space="preserve"> T-Mobile stated its "intention is not to increase our subsidy levels" even as device prices rise, aiming to "broaden out the reasons why people should choose T-Mobile rather than purely a free phone." </w:t>
      </w:r>
      <w:r>
        <w:rPr>
          <w:rFonts w:ascii="Calibri" w:hAnsi="Calibri"/>
          <w:i/>
          <w:color w:val="525866"/>
          <w:sz w:val="22"/>
        </w:rPr>
        <w:t>Read-through:</w:t>
      </w:r>
      <w:r>
        <w:rPr>
          <w:rFonts w:ascii="Calibri" w:hAnsi="Calibri"/>
          <w:color w:val="525866"/>
          <w:sz w:val="22"/>
        </w:rPr>
        <w:t xml:space="preserve"> Industry-wide move away from free-phone promotions is a structural tailwind for VZ's cost of acquisition reduction.</w:t>
      </w:r>
    </w:p>
    <w:p>
      <w:pPr>
        <w:pStyle w:val="ListBullet"/>
        <w:ind w:left="360" w:hanging="360"/>
      </w:pPr>
      <w:r>
        <w:rPr>
          <w:rFonts w:ascii="Calibri" w:hAnsi="Calibri"/>
          <w:b/>
          <w:color w:val="525866"/>
          <w:sz w:val="22"/>
        </w:rPr>
        <w:t>Broadband:</w:t>
      </w:r>
      <w:r>
        <w:rPr>
          <w:rFonts w:ascii="Calibri" w:hAnsi="Calibri"/>
          <w:color w:val="525866"/>
          <w:sz w:val="22"/>
        </w:rPr>
        <w:t xml:space="preserve"> T-Mobile reported broadband net adds "right in the upper 400,000 range" in Q2, with 5G broadband described as "the most exciting evolution in broadband technology in a long, long time." </w:t>
      </w:r>
      <w:r>
        <w:rPr>
          <w:rFonts w:ascii="Calibri" w:hAnsi="Calibri"/>
          <w:i/>
          <w:color w:val="525866"/>
          <w:sz w:val="22"/>
        </w:rPr>
        <w:t>Read-through:</w:t>
      </w:r>
      <w:r>
        <w:rPr>
          <w:rFonts w:ascii="Calibri" w:hAnsi="Calibri"/>
          <w:color w:val="525866"/>
          <w:sz w:val="22"/>
        </w:rPr>
        <w:t xml:space="preserve"> Strong broadband demand environment; VZ's ~230K consensus broadband net adds looks achievable.</w:t>
      </w:r>
    </w:p>
    <w:p>
      <w:pPr>
        <w:pStyle w:val="ListBullet"/>
        <w:ind w:left="360" w:hanging="360"/>
      </w:pPr>
      <w:r>
        <w:rPr>
          <w:rFonts w:ascii="Calibri" w:hAnsi="Calibri"/>
          <w:b/>
          <w:color w:val="525866"/>
          <w:sz w:val="22"/>
        </w:rPr>
        <w:t>Rate Plan Modernization:</w:t>
      </w:r>
      <w:r>
        <w:rPr>
          <w:rFonts w:ascii="Calibri" w:hAnsi="Calibri"/>
          <w:color w:val="525866"/>
          <w:sz w:val="22"/>
        </w:rPr>
        <w:t xml:space="preserve"> T-Mobile flagged that Q3 will see "temporary elevated account churn" from rate plan modernization, expecting ~250K net postpaid account additions in Q3. </w:t>
      </w:r>
      <w:r>
        <w:rPr>
          <w:rFonts w:ascii="Calibri" w:hAnsi="Calibri"/>
          <w:i/>
          <w:color w:val="525866"/>
          <w:sz w:val="22"/>
        </w:rPr>
        <w:t>Read-through:</w:t>
      </w:r>
      <w:r>
        <w:rPr>
          <w:rFonts w:ascii="Calibri" w:hAnsi="Calibri"/>
          <w:color w:val="525866"/>
          <w:sz w:val="22"/>
        </w:rPr>
        <w:t xml:space="preserve"> T-Mobile's Q3 headwind is company-specific; VZ does not face the same dynamic and may benefit from switchers.</w:t>
      </w:r>
    </w:p>
    <w:p>
      <w:pPr>
        <w:pStyle w:val="ListBullet"/>
        <w:ind w:left="360" w:hanging="360"/>
      </w:pPr>
      <w:r>
        <w:rPr>
          <w:rFonts w:ascii="Calibri" w:hAnsi="Calibri"/>
          <w:b/>
          <w:color w:val="525866"/>
          <w:sz w:val="22"/>
        </w:rPr>
        <w:t>Competitive Dynamics:</w:t>
      </w:r>
      <w:r>
        <w:rPr>
          <w:rFonts w:ascii="Calibri" w:hAnsi="Calibri"/>
          <w:color w:val="525866"/>
          <w:sz w:val="22"/>
        </w:rPr>
        <w:t xml:space="preserve"> T-Mobile noted that even "in places where our competitors have fiber and are building fiber, our share of postpaid continues to grow." </w:t>
      </w:r>
      <w:r>
        <w:rPr>
          <w:rFonts w:ascii="Calibri" w:hAnsi="Calibri"/>
          <w:i/>
          <w:color w:val="525866"/>
          <w:sz w:val="22"/>
        </w:rPr>
        <w:t>Read-through:</w:t>
      </w:r>
      <w:r>
        <w:rPr>
          <w:rFonts w:ascii="Calibri" w:hAnsi="Calibri"/>
          <w:color w:val="525866"/>
          <w:sz w:val="22"/>
        </w:rPr>
        <w:t xml:space="preserve"> VZ's fiber/convergence strategy is not deterring T-Mobile's growth, but the overall market is large enough for multiple winners.</w:t>
      </w:r>
    </w:p>
    <w:p>
      <w:pPr>
        <w:pStyle w:val="Heading3"/>
      </w:pPr>
      <w:r>
        <w:rPr>
          <w:rFonts w:ascii="Calibri" w:hAnsi="Calibri"/>
          <w:b/>
          <w:color w:val="3B4259"/>
          <w:sz w:val="24"/>
        </w:rPr>
        <w:t>T-Mobile CFO at Evercore TMT Conference (June 2, 2026) — Q2 Forward-Looking Commentary</w:t>
      </w:r>
    </w:p>
    <w:p>
      <w:pPr>
        <w:pStyle w:val="ListBullet"/>
        <w:ind w:left="360" w:hanging="360"/>
      </w:pPr>
      <w:r>
        <w:rPr>
          <w:rFonts w:ascii="Calibri" w:hAnsi="Calibri"/>
          <w:b/>
          <w:color w:val="525866"/>
          <w:sz w:val="22"/>
        </w:rPr>
        <w:t>Q2 ARPA Outlook:</w:t>
      </w:r>
      <w:r>
        <w:rPr>
          <w:rFonts w:ascii="Calibri" w:hAnsi="Calibri"/>
          <w:color w:val="525866"/>
          <w:sz w:val="22"/>
        </w:rPr>
        <w:t xml:space="preserve"> T-Mobile CFO guided Q2 ARPA growth of "roughly 2%" before "reaccelerating in the back half and landing at 2.5–3% for the full year." </w:t>
      </w:r>
      <w:r>
        <w:rPr>
          <w:rFonts w:ascii="Calibri" w:hAnsi="Calibri"/>
          <w:i/>
          <w:color w:val="525866"/>
          <w:sz w:val="22"/>
        </w:rPr>
        <w:t>Read-through:</w:t>
      </w:r>
      <w:r>
        <w:rPr>
          <w:rFonts w:ascii="Calibri" w:hAnsi="Calibri"/>
          <w:color w:val="525866"/>
          <w:sz w:val="22"/>
        </w:rPr>
        <w:t xml:space="preserve"> ARPA growth is a Q2 industry-wide soft spot before re-accelerating — consistent with VZ's own guided trajectory.</w:t>
      </w:r>
    </w:p>
    <w:p>
      <w:pPr>
        <w:pStyle w:val="ListBullet"/>
        <w:ind w:left="360" w:hanging="360"/>
      </w:pPr>
      <w:r>
        <w:rPr>
          <w:rFonts w:ascii="Calibri" w:hAnsi="Calibri"/>
          <w:b/>
          <w:color w:val="525866"/>
          <w:sz w:val="22"/>
        </w:rPr>
        <w:t>Competitive Behavior:</w:t>
      </w:r>
      <w:r>
        <w:rPr>
          <w:rFonts w:ascii="Calibri" w:hAnsi="Calibri"/>
          <w:color w:val="525866"/>
          <w:sz w:val="22"/>
        </w:rPr>
        <w:t xml:space="preserve"> T-Mobile noted some competitors were "going out there with pretty aggressive device-centric promotions" in Q1 that T-Mobile chose not to match as "CLV not attractive." </w:t>
      </w:r>
      <w:r>
        <w:rPr>
          <w:rFonts w:ascii="Calibri" w:hAnsi="Calibri"/>
          <w:i/>
          <w:color w:val="525866"/>
          <w:sz w:val="22"/>
        </w:rPr>
        <w:t>Read-through:</w:t>
      </w:r>
      <w:r>
        <w:rPr>
          <w:rFonts w:ascii="Calibri" w:hAnsi="Calibri"/>
          <w:color w:val="525866"/>
          <w:sz w:val="22"/>
        </w:rPr>
        <w:t xml:space="preserve"> Suggests VZ's Q1 promotional discipline was industry-consistent; the rational competitive environment should persist into Q2.</w:t>
      </w:r>
    </w:p>
    <w:p>
      <w:pPr>
        <w:pStyle w:val="ListBullet"/>
        <w:ind w:left="360" w:hanging="360"/>
      </w:pPr>
      <w:r>
        <w:rPr>
          <w:rFonts w:ascii="Calibri" w:hAnsi="Calibri"/>
          <w:b/>
          <w:color w:val="525866"/>
          <w:sz w:val="22"/>
        </w:rPr>
        <w:t>Industry Trend:</w:t>
      </w:r>
      <w:r>
        <w:rPr>
          <w:rFonts w:ascii="Calibri" w:hAnsi="Calibri"/>
          <w:color w:val="525866"/>
          <w:sz w:val="22"/>
        </w:rPr>
        <w:t xml:space="preserve"> T-Mobile flagged that "more prepaid customers are choosing to interact with postpaid brands directly than they have in the past" as an industry trend. </w:t>
      </w:r>
      <w:r>
        <w:rPr>
          <w:rFonts w:ascii="Calibri" w:hAnsi="Calibri"/>
          <w:i/>
          <w:color w:val="525866"/>
          <w:sz w:val="22"/>
        </w:rPr>
        <w:t>Read-through:</w:t>
      </w:r>
      <w:r>
        <w:rPr>
          <w:rFonts w:ascii="Calibri" w:hAnsi="Calibri"/>
          <w:color w:val="525866"/>
          <w:sz w:val="22"/>
        </w:rPr>
        <w:t xml:space="preserve"> Prepaid-to-postpaid migration is a tailwind for VZ's postpaid net adds.</w:t>
      </w:r>
    </w:p>
    <w:p>
      <w:pPr>
        <w:pStyle w:val="Heading3"/>
      </w:pPr>
      <w:r>
        <w:rPr>
          <w:rFonts w:ascii="Calibri" w:hAnsi="Calibri"/>
          <w:b/>
          <w:color w:val="3B4259"/>
          <w:sz w:val="24"/>
        </w:rPr>
        <w:t>AT&amp;T CFO at Mizuho Technology Conference (June 9, 2026) — Q2 Forward-Looking Commentary</w:t>
      </w:r>
    </w:p>
    <w:p>
      <w:pPr>
        <w:pStyle w:val="ListBullet"/>
        <w:ind w:left="360" w:hanging="360"/>
      </w:pPr>
      <w:r>
        <w:rPr>
          <w:rFonts w:ascii="Calibri" w:hAnsi="Calibri"/>
          <w:b/>
          <w:color w:val="525866"/>
          <w:sz w:val="22"/>
        </w:rPr>
        <w:t>Broadband Acceleration:</w:t>
      </w:r>
      <w:r>
        <w:rPr>
          <w:rFonts w:ascii="Calibri" w:hAnsi="Calibri"/>
          <w:color w:val="525866"/>
          <w:sz w:val="22"/>
        </w:rPr>
        <w:t xml:space="preserve"> AT&amp;T CFO stated "we expect growth in customer additions to accelerate year-over-year relative to what we saw in the first quarter" for Advanced Home Internet. </w:t>
      </w:r>
      <w:r>
        <w:rPr>
          <w:rFonts w:ascii="Calibri" w:hAnsi="Calibri"/>
          <w:i/>
          <w:color w:val="525866"/>
          <w:sz w:val="22"/>
        </w:rPr>
        <w:t>Read-through:</w:t>
      </w:r>
      <w:r>
        <w:rPr>
          <w:rFonts w:ascii="Calibri" w:hAnsi="Calibri"/>
          <w:color w:val="525866"/>
          <w:sz w:val="22"/>
        </w:rPr>
        <w:t xml:space="preserve"> Broadband demand is accelerating into Q2 — positive for VZ's broadband net adds trajectory.</w:t>
      </w:r>
    </w:p>
    <w:p>
      <w:pPr>
        <w:pStyle w:val="ListBullet"/>
        <w:ind w:left="360" w:hanging="360"/>
      </w:pPr>
      <w:r>
        <w:rPr>
          <w:rFonts w:ascii="Calibri" w:hAnsi="Calibri"/>
          <w:b/>
          <w:color w:val="525866"/>
          <w:sz w:val="22"/>
        </w:rPr>
        <w:t>Convergence Strategy:</w:t>
      </w:r>
      <w:r>
        <w:rPr>
          <w:rFonts w:ascii="Calibri" w:hAnsi="Calibri"/>
          <w:color w:val="525866"/>
          <w:sz w:val="22"/>
        </w:rPr>
        <w:t xml:space="preserve"> AT&amp;T's converged customers (fiber + wireless) are "lowest churn customers, highest lifetime value." AT&amp;T is targeting "value customers, 1 or 2 line customers" to expand market share. </w:t>
      </w:r>
      <w:r>
        <w:rPr>
          <w:rFonts w:ascii="Calibri" w:hAnsi="Calibri"/>
          <w:i/>
          <w:color w:val="525866"/>
          <w:sz w:val="22"/>
        </w:rPr>
        <w:t>Read-through:</w:t>
      </w:r>
      <w:r>
        <w:rPr>
          <w:rFonts w:ascii="Calibri" w:hAnsi="Calibri"/>
          <w:color w:val="525866"/>
          <w:sz w:val="22"/>
        </w:rPr>
        <w:t xml:space="preserve"> AT&amp;T's convergence push validates VZ's strategy; VZ's 30% lower churn on converged offers is a structural advantage.</w:t>
      </w:r>
    </w:p>
    <w:p>
      <w:pPr>
        <w:pStyle w:val="ListBullet"/>
        <w:ind w:left="360" w:hanging="360"/>
      </w:pPr>
      <w:r>
        <w:rPr>
          <w:rFonts w:ascii="Calibri" w:hAnsi="Calibri"/>
          <w:b/>
          <w:color w:val="525866"/>
          <w:sz w:val="22"/>
        </w:rPr>
        <w:t>Promotional Discipline:</w:t>
      </w:r>
      <w:r>
        <w:rPr>
          <w:rFonts w:ascii="Calibri" w:hAnsi="Calibri"/>
          <w:color w:val="525866"/>
          <w:sz w:val="22"/>
        </w:rPr>
        <w:t xml:space="preserve"> AT&amp;T CFO acknowledged the industry "probably as an industry, have over-indexed on those [device subsidies]" and manages within a "budget of subsidy." </w:t>
      </w:r>
      <w:r>
        <w:rPr>
          <w:rFonts w:ascii="Calibri" w:hAnsi="Calibri"/>
          <w:i/>
          <w:color w:val="525866"/>
          <w:sz w:val="22"/>
        </w:rPr>
        <w:t>Read-through:</w:t>
      </w:r>
      <w:r>
        <w:rPr>
          <w:rFonts w:ascii="Calibri" w:hAnsi="Calibri"/>
          <w:color w:val="525866"/>
          <w:sz w:val="22"/>
        </w:rPr>
        <w:t xml:space="preserve"> Industry-wide acknowledgment of over-promotion supports VZ's move to reduce promotional intensity.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routine phantom stock unit accruals under deferred compensation plans — </w:t>
      </w:r>
      <w:r>
        <w:rPr>
          <w:rFonts w:ascii="Calibri" w:hAnsi="Calibri"/>
          <w:b/>
          <w:color w:val="525866"/>
          <w:sz w:val="22"/>
        </w:rPr>
        <w:t>no open-market buys or sells</w:t>
      </w:r>
      <w:r>
        <w:rPr>
          <w:rFonts w:ascii="Calibri" w:hAnsi="Calibri"/>
          <w:color w:val="525866"/>
          <w:sz w:val="22"/>
        </w:rPr>
        <w:t xml:space="preserve"> with one exception. </w:t>
      </w:r>
      <w:r>
        <w:rPr>
          <w:rFonts w:ascii="Calibri" w:hAnsi="Calibri"/>
          <w:b/>
          <w:color w:val="525866"/>
          <w:sz w:val="22"/>
        </w:rPr>
        <w:t>Samantha Hammock (EVP &amp; Chief HR Officer)</w:t>
      </w:r>
      <w:r>
        <w:rPr>
          <w:rFonts w:ascii="Calibri" w:hAnsi="Calibri"/>
          <w:color w:val="525866"/>
          <w:sz w:val="22"/>
        </w:rPr>
        <w:t xml:space="preserve"> sold 73,069 shares on May 29, 2026 (filed June 2) — a discretionary sale with no 10b5-1 plan flagged. The timing (pre-BT JV announcement) and the role (HR, not operational) limit the read-through, but it is the only open-market sale in the period.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 (Approx.)</w:t>
            </w:r>
          </w:p>
        </w:tc>
        <w:tc>
          <w:tcPr>
            <w:tcW w:type="dxa" w:w="1234"/>
            <w:shd w:val="clear" w:color="auto" w:fill="3B4259"/>
          </w:tcPr>
          <w:p>
            <w:r>
              <w:rPr>
                <w:rFonts w:ascii="Calibri" w:hAnsi="Calibri"/>
                <w:b/>
                <w:color w:val="FFFFFF"/>
                <w:sz w:val="22"/>
              </w:rPr>
              <w:t>Effective Date</w:t>
            </w:r>
          </w:p>
        </w:tc>
        <w:tc>
          <w:tcPr>
            <w:tcW w:type="dxa" w:w="1234"/>
            <w:shd w:val="clear" w:color="auto" w:fill="3B4259"/>
          </w:tcPr>
          <w:p>
            <w:r>
              <w:rPr>
                <w:rFonts w:ascii="Calibri" w:hAnsi="Calibri"/>
                <w:b/>
                <w:color w:val="FFFFFF"/>
                <w:sz w:val="22"/>
              </w:rPr>
              <w:t>Disclosure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Samantha Hammock</w:t>
            </w:r>
          </w:p>
        </w:tc>
        <w:tc>
          <w:tcPr>
            <w:tcW w:type="dxa" w:w="1234"/>
          </w:tcPr>
          <w:p>
            <w:r>
              <w:rPr>
                <w:rFonts w:ascii="Calibri" w:hAnsi="Calibri"/>
                <w:sz w:val="22"/>
              </w:rPr>
              <w:t>EVP &amp; Chief HR Officer</w:t>
            </w:r>
          </w:p>
        </w:tc>
        <w:tc>
          <w:tcPr>
            <w:tcW w:type="dxa" w:w="1234"/>
          </w:tcPr>
          <w:p>
            <w:r>
              <w:rPr>
                <w:rFonts w:ascii="Calibri" w:hAnsi="Calibri"/>
                <w:b/>
                <w:color w:val="E5484D"/>
                <w:sz w:val="22"/>
              </w:rPr>
              <w:t>Open Market Sale</w:t>
            </w:r>
          </w:p>
        </w:tc>
        <w:tc>
          <w:tcPr>
            <w:tcW w:type="dxa" w:w="1234"/>
          </w:tcPr>
          <w:p>
            <w:r>
              <w:rPr>
                <w:rFonts w:ascii="Calibri" w:hAnsi="Calibri"/>
                <w:sz w:val="22"/>
              </w:rPr>
              <w:t>~$3.5M (73,069 shares)</w:t>
            </w:r>
          </w:p>
        </w:tc>
        <w:tc>
          <w:tcPr>
            <w:tcW w:type="dxa" w:w="1234"/>
          </w:tcPr>
          <w:p>
            <w:r>
              <w:rPr>
                <w:rFonts w:ascii="Calibri" w:hAnsi="Calibri"/>
                <w:sz w:val="22"/>
              </w:rPr>
              <w:t>May 29, 2026</w:t>
            </w:r>
          </w:p>
        </w:tc>
        <w:tc>
          <w:tcPr>
            <w:tcW w:type="dxa" w:w="1234"/>
          </w:tcPr>
          <w:p>
            <w:r>
              <w:rPr>
                <w:rFonts w:ascii="Calibri" w:hAnsi="Calibri"/>
                <w:sz w:val="22"/>
              </w:rPr>
              <w:t>June 2, 2026</w:t>
            </w:r>
          </w:p>
        </w:tc>
        <w:tc>
          <w:tcPr>
            <w:tcW w:type="dxa" w:w="1234"/>
          </w:tcPr>
          <w:p>
            <w:r>
              <w:rPr>
                <w:rFonts w:ascii="Calibri" w:hAnsi="Calibri"/>
                <w:sz w:val="22"/>
              </w:rPr>
              <w:t>Discretionary sale; no 10b5-1 plan flagged. Only open-market sale in the period. Pre-dates BT JV announcement.</w:t>
            </w:r>
          </w:p>
        </w:tc>
      </w:tr>
      <w:tr>
        <w:tc>
          <w:tcPr>
            <w:tcW w:type="dxa" w:w="1234"/>
          </w:tcPr>
          <w:p>
            <w:r>
              <w:rPr>
                <w:rFonts w:ascii="Calibri" w:hAnsi="Calibri"/>
                <w:sz w:val="22"/>
              </w:rPr>
              <w:t>Multiple Executives (CEO, CFO, EVPs)</w:t>
            </w:r>
          </w:p>
        </w:tc>
        <w:tc>
          <w:tcPr>
            <w:tcW w:type="dxa" w:w="1234"/>
          </w:tcPr>
          <w:p>
            <w:r>
              <w:rPr>
                <w:rFonts w:ascii="Calibri" w:hAnsi="Calibri"/>
                <w:sz w:val="22"/>
              </w:rPr>
              <w:t>Various</w:t>
            </w:r>
          </w:p>
        </w:tc>
        <w:tc>
          <w:tcPr>
            <w:tcW w:type="dxa" w:w="1234"/>
          </w:tcPr>
          <w:p>
            <w:r>
              <w:rPr>
                <w:rFonts w:ascii="Calibri" w:hAnsi="Calibri"/>
                <w:sz w:val="22"/>
              </w:rPr>
              <w:t>Phantom Stock Accrual (Code A)</w:t>
            </w:r>
          </w:p>
        </w:tc>
        <w:tc>
          <w:tcPr>
            <w:tcW w:type="dxa" w:w="1234"/>
          </w:tcPr>
          <w:p>
            <w:r>
              <w:rPr>
                <w:rFonts w:ascii="Calibri" w:hAnsi="Calibri"/>
                <w:sz w:val="22"/>
              </w:rPr>
              <w:t>Small unit accruals</w:t>
            </w:r>
          </w:p>
        </w:tc>
        <w:tc>
          <w:tcPr>
            <w:tcW w:type="dxa" w:w="1234"/>
          </w:tcPr>
          <w:p>
            <w:r>
              <w:rPr>
                <w:rFonts w:ascii="Calibri" w:hAnsi="Calibri"/>
                <w:sz w:val="22"/>
              </w:rPr>
              <w:t>Recurring (monthly)</w:t>
            </w:r>
          </w:p>
        </w:tc>
        <w:tc>
          <w:tcPr>
            <w:tcW w:type="dxa" w:w="1234"/>
          </w:tcPr>
          <w:p>
            <w:r>
              <w:rPr>
                <w:rFonts w:ascii="Calibri" w:hAnsi="Calibri"/>
                <w:sz w:val="22"/>
              </w:rPr>
              <w:t>Various</w:t>
            </w:r>
          </w:p>
        </w:tc>
        <w:tc>
          <w:tcPr>
            <w:tcW w:type="dxa" w:w="1234"/>
          </w:tcPr>
          <w:p>
            <w:r>
              <w:rPr>
                <w:rFonts w:ascii="Calibri" w:hAnsi="Calibri"/>
                <w:sz w:val="22"/>
              </w:rPr>
              <w:t>Routine deferred compensation plan accruals — not open-market transactions. No signal value.</w:t>
            </w:r>
          </w:p>
        </w:tc>
      </w:tr>
    </w:tbl>
    <w:p>
      <w:r>
        <w:rPr>
          <w:rFonts w:ascii="Calibri" w:hAnsi="Calibri"/>
          <w:b/>
          <w:color w:val="525866"/>
          <w:sz w:val="22"/>
        </w:rPr>
        <w:t>Conclusion:</w:t>
      </w:r>
      <w:r>
        <w:rPr>
          <w:rFonts w:ascii="Calibri" w:hAnsi="Calibri"/>
          <w:color w:val="525866"/>
          <w:sz w:val="22"/>
        </w:rPr>
        <w:t xml:space="preserve"> The absence of open-market buying by insiders despite the stock's ~7% decline since Q1 earnings is notable but not alarming — the CEO is relatively new (7 months in role) and the deferred compensation accruals suggest ongoing alignment with shareholders through the plan structure. The single discretionary sale by the HR chief is not a meaningful negative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