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Verizon Communications (VZ)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Verizon Communications Inc. (VZ)</w:t>
            </w:r>
          </w:p>
        </w:tc>
      </w:tr>
      <w:tr>
        <w:tc>
          <w:tcPr>
            <w:tcW w:type="dxa" w:w="4320"/>
          </w:tcPr>
          <w:p>
            <w:r>
              <w:rPr>
                <w:rFonts w:ascii="Calibri" w:hAnsi="Calibri"/>
                <w:b/>
                <w:sz w:val="22"/>
              </w:rPr>
              <w:t>Upcoming Earnings Date</w:t>
            </w:r>
          </w:p>
        </w:tc>
        <w:tc>
          <w:tcPr>
            <w:tcW w:type="dxa" w:w="4320"/>
          </w:tcPr>
          <w:p>
            <w:r>
              <w:rPr>
                <w:rFonts w:ascii="Calibri" w:hAnsi="Calibri"/>
                <w:sz w:val="22"/>
              </w:rPr>
              <w:t>July 24, 2026 (Pre-Market) — Q2 2026 Earnings Call at 8:30 AM ET</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Preparation Date</w:t>
            </w:r>
          </w:p>
        </w:tc>
        <w:tc>
          <w:tcPr>
            <w:tcW w:type="dxa" w:w="4320"/>
          </w:tcPr>
          <w:p>
            <w:r>
              <w:rPr>
                <w:rFonts w:ascii="Calibri" w:hAnsi="Calibri"/>
                <w:sz w:val="22"/>
              </w:rPr>
              <w:t>July 23, 2026</w:t>
            </w:r>
          </w:p>
        </w:tc>
      </w:tr>
      <w:tr>
        <w:tc>
          <w:tcPr>
            <w:tcW w:type="dxa" w:w="4320"/>
          </w:tcPr>
          <w:p>
            <w:r>
              <w:rPr>
                <w:rFonts w:ascii="Calibri" w:hAnsi="Calibri"/>
                <w:b/>
                <w:sz w:val="22"/>
              </w:rPr>
              <w:t>Last Earnings Date</w:t>
            </w:r>
          </w:p>
        </w:tc>
        <w:tc>
          <w:tcPr>
            <w:tcW w:type="dxa" w:w="4320"/>
          </w:tcPr>
          <w:p>
            <w:r>
              <w:rPr>
                <w:rFonts w:ascii="Calibri" w:hAnsi="Calibri"/>
                <w:sz w:val="22"/>
              </w:rPr>
              <w:t>April 27, 2026 (Q1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constructive but not a slam dunk — the biggest swing factor is whether postpaid phone net adds can sustain Q1’s momentum and whether wireless service revenue inflects as management guided.</w:t>
      </w:r>
    </w:p>
    <w:p>
      <w:r>
        <w:rPr>
          <w:rFonts w:ascii="Calibri" w:hAnsi="Calibri"/>
          <w:color w:val="525866"/>
          <w:sz w:val="22"/>
        </w:rPr>
        <w:t>Heading into Q2 2026, the bar for Verizon is moderately high but achievable: consensus expects operating EPS of ~$1.26 (up ~7% YoY) and adjusted EBITDA of ~$13.6B, both of which management’s raised full-year guidance implies are well within reach. Management explicitly called Q1 the “</w:t>
      </w:r>
      <w:r>
        <w:rPr>
          <w:rFonts w:ascii="Calibri" w:hAnsi="Calibri"/>
          <w:b/>
          <w:color w:val="525866"/>
          <w:sz w:val="22"/>
        </w:rPr>
        <w:t>low point of 2026</w:t>
      </w:r>
      <w:r>
        <w:rPr>
          <w:rFonts w:ascii="Calibri" w:hAnsi="Calibri"/>
          <w:color w:val="525866"/>
          <w:sz w:val="22"/>
        </w:rPr>
        <w:t xml:space="preserve">” for mobility and broadband service revenue, setting up a sequential inflection in Q2 that the Street has largely priced in — the stock is down ~7% since the Q1 print, suggesting the market is skeptical of execution rather than pricing in a beat. Estimate revisions have been modestly negative since April (EPS consensus slipped from ~$1.27 to ~$1.26), indicating the Street is not chasing the story higher, which leaves room for a positive surprise if subscriber trends hold. The wildcard is </w:t>
      </w:r>
      <w:r>
        <w:rPr>
          <w:rFonts w:ascii="Calibri" w:hAnsi="Calibri"/>
          <w:b/>
          <w:color w:val="525866"/>
          <w:sz w:val="22"/>
        </w:rPr>
        <w:t>postpaid phone net adds</w:t>
      </w:r>
      <w:r>
        <w:rPr>
          <w:rFonts w:ascii="Calibri" w:hAnsi="Calibri"/>
          <w:color w:val="525866"/>
          <w:sz w:val="22"/>
        </w:rPr>
        <w:t>: management guided to the upper half of 750K–1M for the full year and signaled “continued momentum into Q2” — consensus sits at ~112K for Q2, a number that looks beatable given Q1’s 52K print came with a network outage headwind; a strong net-adds beat would be the single most powerful catalyst for the stock. Peer results from AT&amp;T (strong +432K postpaid adds) and T-Mobile (solid EBITDA/FCF beats) confirm a healthy industry backdrop, though Comcast’s record 448K wireless line adds underscore that cable MVNO competition remains intense.</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moderate bar on EPS and EBITDA; postpaid phone net adds is the higher-variance KPI and the bigger stock mover. A beat on subscriber momentum alongside wireless service revenue inflection would be the most bullish combination.</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 Period)</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(Est. vs. PY)</w:t>
            </w:r>
          </w:p>
        </w:tc>
        <w:tc>
          <w:tcPr>
            <w:tcW w:type="dxa" w:w="1234"/>
            <w:shd w:val="clear" w:color="auto" w:fill="3B4259"/>
          </w:tcPr>
          <w:p>
            <w:r>
              <w:rPr>
                <w:rFonts w:ascii="Calibri" w:hAnsi="Calibri"/>
                <w:b/>
                <w:color w:val="FFFFFF"/>
                <w:sz w:val="22"/>
              </w:rPr>
              <w:t>Guidance (FY 2026)</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Diluted Operating EPS ($)</w:t>
            </w:r>
          </w:p>
        </w:tc>
        <w:tc>
          <w:tcPr>
            <w:tcW w:type="dxa" w:w="1234"/>
          </w:tcPr>
          <w:p>
            <w:r>
              <w:rPr>
                <w:rFonts w:ascii="Calibri" w:hAnsi="Calibri"/>
                <w:sz w:val="22"/>
              </w:rPr>
              <w:t>$1.28</w:t>
            </w:r>
          </w:p>
        </w:tc>
        <w:tc>
          <w:tcPr>
            <w:tcW w:type="dxa" w:w="1234"/>
          </w:tcPr>
          <w:p>
            <w:r>
              <w:rPr>
                <w:rFonts w:ascii="Calibri" w:hAnsi="Calibri"/>
                <w:sz w:val="22"/>
              </w:rPr>
              <w:t>$1.22</w:t>
            </w:r>
          </w:p>
        </w:tc>
        <w:tc>
          <w:tcPr>
            <w:tcW w:type="dxa" w:w="1234"/>
          </w:tcPr>
          <w:p>
            <w:r>
              <w:rPr>
                <w:rFonts w:ascii="Calibri" w:hAnsi="Calibri"/>
                <w:sz w:val="22"/>
              </w:rPr>
              <w:t>$1.26</w:t>
            </w:r>
          </w:p>
        </w:tc>
        <w:tc>
          <w:tcPr>
            <w:tcW w:type="dxa" w:w="1234"/>
          </w:tcPr>
          <w:p>
            <w:r>
              <w:rPr>
                <w:rFonts w:ascii="Calibri" w:hAnsi="Calibri"/>
                <w:sz w:val="22"/>
              </w:rPr>
              <w:t>+3.3%</w:t>
            </w:r>
          </w:p>
        </w:tc>
        <w:tc>
          <w:tcPr>
            <w:tcW w:type="dxa" w:w="1234"/>
          </w:tcPr>
          <w:p>
            <w:r>
              <w:rPr>
                <w:rFonts w:ascii="Calibri" w:hAnsi="Calibri"/>
                <w:sz w:val="22"/>
              </w:rPr>
              <w:t>5%–6% growth YoY (FY)</w:t>
            </w:r>
          </w:p>
        </w:tc>
        <w:tc>
          <w:tcPr>
            <w:tcW w:type="dxa" w:w="1234"/>
          </w:tcPr>
          <w:p>
            <w:r>
              <w:rPr>
                <w:rFonts w:ascii="Calibri" w:hAnsi="Calibri"/>
                <w:sz w:val="22"/>
              </w:rPr>
              <w:t>FY consensus $4.95 implies ~5% growth; on track</w:t>
            </w:r>
          </w:p>
        </w:tc>
      </w:tr>
      <w:tr>
        <w:tc>
          <w:tcPr>
            <w:tcW w:type="dxa" w:w="1234"/>
          </w:tcPr>
          <w:p>
            <w:r>
              <w:rPr>
                <w:rFonts w:ascii="Calibri" w:hAnsi="Calibri"/>
                <w:sz w:val="22"/>
              </w:rPr>
              <w:t>Operating Revenues ($B)</w:t>
            </w:r>
          </w:p>
        </w:tc>
        <w:tc>
          <w:tcPr>
            <w:tcW w:type="dxa" w:w="1234"/>
          </w:tcPr>
          <w:p>
            <w:r>
              <w:rPr>
                <w:rFonts w:ascii="Calibri" w:hAnsi="Calibri"/>
                <w:sz w:val="22"/>
              </w:rPr>
              <w:t>$34.4B</w:t>
            </w:r>
          </w:p>
        </w:tc>
        <w:tc>
          <w:tcPr>
            <w:tcW w:type="dxa" w:w="1234"/>
          </w:tcPr>
          <w:p>
            <w:r>
              <w:rPr>
                <w:rFonts w:ascii="Calibri" w:hAnsi="Calibri"/>
                <w:sz w:val="22"/>
              </w:rPr>
              <w:t>$34.5B</w:t>
            </w:r>
          </w:p>
        </w:tc>
        <w:tc>
          <w:tcPr>
            <w:tcW w:type="dxa" w:w="1234"/>
          </w:tcPr>
          <w:p>
            <w:r>
              <w:rPr>
                <w:rFonts w:ascii="Calibri" w:hAnsi="Calibri"/>
                <w:sz w:val="22"/>
              </w:rPr>
              <w:t>$35.3B</w:t>
            </w:r>
          </w:p>
        </w:tc>
        <w:tc>
          <w:tcPr>
            <w:tcW w:type="dxa" w:w="1234"/>
          </w:tcPr>
          <w:p>
            <w:r>
              <w:rPr>
                <w:rFonts w:ascii="Calibri" w:hAnsi="Calibri"/>
                <w:sz w:val="22"/>
              </w:rPr>
              <w:t>+2.3%</w:t>
            </w:r>
          </w:p>
        </w:tc>
        <w:tc>
          <w:tcPr>
            <w:tcW w:type="dxa" w:w="1234"/>
          </w:tcPr>
          <w:p>
            <w:r>
              <w:rPr>
                <w:rFonts w:ascii="Calibri" w:hAnsi="Calibri"/>
                <w:sz w:val="22"/>
              </w:rPr>
              <w:t>Mobility &amp; broadband service rev. +2%–3% YoY (FY)</w:t>
            </w:r>
          </w:p>
        </w:tc>
        <w:tc>
          <w:tcPr>
            <w:tcW w:type="dxa" w:w="1234"/>
          </w:tcPr>
          <w:p>
            <w:r>
              <w:rPr>
                <w:rFonts w:ascii="Calibri" w:hAnsi="Calibri"/>
                <w:sz w:val="22"/>
              </w:rPr>
              <w:t>FY consensus $142.5B; Q2 est. implies sequential step-up from Q1</w:t>
            </w:r>
          </w:p>
        </w:tc>
      </w:tr>
      <w:tr>
        <w:tc>
          <w:tcPr>
            <w:tcW w:type="dxa" w:w="1234"/>
          </w:tcPr>
          <w:p>
            <w:r>
              <w:rPr>
                <w:rFonts w:ascii="Calibri" w:hAnsi="Calibri"/>
                <w:sz w:val="22"/>
              </w:rPr>
              <w:t>Adjusted EBITDA ($B)</w:t>
            </w:r>
          </w:p>
        </w:tc>
        <w:tc>
          <w:tcPr>
            <w:tcW w:type="dxa" w:w="1234"/>
          </w:tcPr>
          <w:p>
            <w:r>
              <w:rPr>
                <w:rFonts w:ascii="Calibri" w:hAnsi="Calibri"/>
                <w:sz w:val="22"/>
              </w:rPr>
              <w:t>$13.4B</w:t>
            </w:r>
          </w:p>
        </w:tc>
        <w:tc>
          <w:tcPr>
            <w:tcW w:type="dxa" w:w="1234"/>
          </w:tcPr>
          <w:p>
            <w:r>
              <w:rPr>
                <w:rFonts w:ascii="Calibri" w:hAnsi="Calibri"/>
                <w:sz w:val="22"/>
              </w:rPr>
              <w:t>$12.8B</w:t>
            </w:r>
          </w:p>
        </w:tc>
        <w:tc>
          <w:tcPr>
            <w:tcW w:type="dxa" w:w="1234"/>
          </w:tcPr>
          <w:p>
            <w:r>
              <w:rPr>
                <w:rFonts w:ascii="Calibri" w:hAnsi="Calibri"/>
                <w:sz w:val="22"/>
              </w:rPr>
              <w:t>$13.6B</w:t>
            </w:r>
          </w:p>
        </w:tc>
        <w:tc>
          <w:tcPr>
            <w:tcW w:type="dxa" w:w="1234"/>
          </w:tcPr>
          <w:p>
            <w:r>
              <w:rPr>
                <w:rFonts w:ascii="Calibri" w:hAnsi="Calibri"/>
                <w:sz w:val="22"/>
              </w:rPr>
              <w:t>+6.3%</w:t>
            </w:r>
          </w:p>
        </w:tc>
        <w:tc>
          <w:tcPr>
            <w:tcW w:type="dxa" w:w="1234"/>
          </w:tcPr>
          <w:p>
            <w:r>
              <w:rPr>
                <w:rFonts w:ascii="Calibri" w:hAnsi="Calibri"/>
                <w:sz w:val="22"/>
              </w:rPr>
              <w:t>FY ~$53.6B (consensus)</w:t>
            </w:r>
          </w:p>
        </w:tc>
        <w:tc>
          <w:tcPr>
            <w:tcW w:type="dxa" w:w="1234"/>
          </w:tcPr>
          <w:p>
            <w:r>
              <w:rPr>
                <w:rFonts w:ascii="Calibri" w:hAnsi="Calibri"/>
                <w:sz w:val="22"/>
              </w:rPr>
              <w:t>Q2 est. implies continued YoY expansion; in line with FY pace</w:t>
            </w:r>
          </w:p>
        </w:tc>
      </w:tr>
      <w:tr>
        <w:tc>
          <w:tcPr>
            <w:tcW w:type="dxa" w:w="1234"/>
          </w:tcPr>
          <w:p>
            <w:r>
              <w:rPr>
                <w:rFonts w:ascii="Calibri" w:hAnsi="Calibri"/>
                <w:sz w:val="22"/>
              </w:rPr>
              <w:t>Free Cash Flow ($B)</w:t>
            </w:r>
          </w:p>
        </w:tc>
        <w:tc>
          <w:tcPr>
            <w:tcW w:type="dxa" w:w="1234"/>
          </w:tcPr>
          <w:p>
            <w:r>
              <w:rPr>
                <w:rFonts w:ascii="Calibri" w:hAnsi="Calibri"/>
                <w:sz w:val="22"/>
              </w:rPr>
              <w:t>$3.8B</w:t>
            </w:r>
          </w:p>
        </w:tc>
        <w:tc>
          <w:tcPr>
            <w:tcW w:type="dxa" w:w="1234"/>
          </w:tcPr>
          <w:p>
            <w:r>
              <w:rPr>
                <w:rFonts w:ascii="Calibri" w:hAnsi="Calibri"/>
                <w:sz w:val="22"/>
              </w:rPr>
              <w:t>$5.2B</w:t>
            </w:r>
          </w:p>
        </w:tc>
        <w:tc>
          <w:tcPr>
            <w:tcW w:type="dxa" w:w="1234"/>
          </w:tcPr>
          <w:p>
            <w:r>
              <w:rPr>
                <w:rFonts w:ascii="Calibri" w:hAnsi="Calibri"/>
                <w:sz w:val="22"/>
              </w:rPr>
              <w:t>$5.4B</w:t>
            </w:r>
          </w:p>
        </w:tc>
        <w:tc>
          <w:tcPr>
            <w:tcW w:type="dxa" w:w="1234"/>
          </w:tcPr>
          <w:p>
            <w:r>
              <w:rPr>
                <w:rFonts w:ascii="Calibri" w:hAnsi="Calibri"/>
                <w:sz w:val="22"/>
              </w:rPr>
              <w:t>+4.3%</w:t>
            </w:r>
          </w:p>
        </w:tc>
        <w:tc>
          <w:tcPr>
            <w:tcW w:type="dxa" w:w="1234"/>
          </w:tcPr>
          <w:p>
            <w:r>
              <w:rPr>
                <w:rFonts w:ascii="Calibri" w:hAnsi="Calibri"/>
                <w:sz w:val="22"/>
              </w:rPr>
              <w:t>~7%+ growth YoY; FY ≥$21.5B</w:t>
            </w:r>
          </w:p>
        </w:tc>
        <w:tc>
          <w:tcPr>
            <w:tcW w:type="dxa" w:w="1234"/>
          </w:tcPr>
          <w:p>
            <w:r>
              <w:rPr>
                <w:rFonts w:ascii="Calibri" w:hAnsi="Calibri"/>
                <w:sz w:val="22"/>
              </w:rPr>
              <w:t>FY consensus $21.8B; Q2 est. implies strong seasonal ramp</w:t>
            </w:r>
          </w:p>
        </w:tc>
      </w:tr>
      <w:tr>
        <w:tc>
          <w:tcPr>
            <w:tcW w:type="dxa" w:w="1234"/>
          </w:tcPr>
          <w:p>
            <w:r>
              <w:rPr>
                <w:rFonts w:ascii="Calibri" w:hAnsi="Calibri"/>
                <w:sz w:val="22"/>
              </w:rPr>
              <w:t>Postpaid Phone Net Adds (K)</w:t>
            </w:r>
          </w:p>
        </w:tc>
        <w:tc>
          <w:tcPr>
            <w:tcW w:type="dxa" w:w="1234"/>
          </w:tcPr>
          <w:p>
            <w:r>
              <w:rPr>
                <w:rFonts w:ascii="Calibri" w:hAnsi="Calibri"/>
                <w:sz w:val="22"/>
              </w:rPr>
              <w:t>+52K</w:t>
            </w:r>
          </w:p>
        </w:tc>
        <w:tc>
          <w:tcPr>
            <w:tcW w:type="dxa" w:w="1234"/>
          </w:tcPr>
          <w:p>
            <w:r>
              <w:rPr>
                <w:rFonts w:ascii="Calibri" w:hAnsi="Calibri"/>
                <w:sz w:val="22"/>
              </w:rPr>
              <w:t>−7K</w:t>
            </w:r>
          </w:p>
        </w:tc>
        <w:tc>
          <w:tcPr>
            <w:tcW w:type="dxa" w:w="1234"/>
          </w:tcPr>
          <w:p>
            <w:r>
              <w:rPr>
                <w:rFonts w:ascii="Calibri" w:hAnsi="Calibri"/>
                <w:sz w:val="22"/>
              </w:rPr>
              <w:t>+112K</w:t>
            </w:r>
          </w:p>
        </w:tc>
        <w:tc>
          <w:tcPr>
            <w:tcW w:type="dxa" w:w="1234"/>
          </w:tcPr>
          <w:p>
            <w:r>
              <w:rPr>
                <w:rFonts w:ascii="Calibri" w:hAnsi="Calibri"/>
                <w:sz w:val="22"/>
              </w:rPr>
              <w:t>N/M (prior year negative)</w:t>
            </w:r>
          </w:p>
        </w:tc>
        <w:tc>
          <w:tcPr>
            <w:tcW w:type="dxa" w:w="1234"/>
          </w:tcPr>
          <w:p>
            <w:r>
              <w:rPr>
                <w:rFonts w:ascii="Calibri" w:hAnsi="Calibri"/>
                <w:sz w:val="22"/>
              </w:rPr>
              <w:t>Upper half of 750K–1M FY range</w:t>
            </w:r>
          </w:p>
        </w:tc>
        <w:tc>
          <w:tcPr>
            <w:tcW w:type="dxa" w:w="1234"/>
          </w:tcPr>
          <w:p>
            <w:r>
              <w:rPr>
                <w:rFonts w:ascii="Calibri" w:hAnsi="Calibri"/>
                <w:sz w:val="22"/>
              </w:rPr>
              <w:t>FY consensus ~926K; Q2 est. implies continued sequential improvement</w:t>
            </w:r>
          </w:p>
        </w:tc>
      </w:tr>
      <w:tr>
        <w:tc>
          <w:tcPr>
            <w:tcW w:type="dxa" w:w="1234"/>
          </w:tcPr>
          <w:p>
            <w:r>
              <w:rPr>
                <w:rFonts w:ascii="Calibri" w:hAnsi="Calibri"/>
                <w:sz w:val="22"/>
              </w:rPr>
              <w:t>Postpaid Phone Churn (%)</w:t>
            </w:r>
          </w:p>
        </w:tc>
        <w:tc>
          <w:tcPr>
            <w:tcW w:type="dxa" w:w="1234"/>
          </w:tcPr>
          <w:p>
            <w:r>
              <w:rPr>
                <w:rFonts w:ascii="Calibri" w:hAnsi="Calibri"/>
                <w:sz w:val="22"/>
              </w:rPr>
              <w:t>0.97%</w:t>
            </w:r>
          </w:p>
        </w:tc>
        <w:tc>
          <w:tcPr>
            <w:tcW w:type="dxa" w:w="1234"/>
          </w:tcPr>
          <w:p>
            <w:r>
              <w:rPr>
                <w:rFonts w:ascii="Calibri" w:hAnsi="Calibri"/>
                <w:sz w:val="22"/>
              </w:rPr>
              <w:t>0.97%</w:t>
            </w:r>
          </w:p>
        </w:tc>
        <w:tc>
          <w:tcPr>
            <w:tcW w:type="dxa" w:w="1234"/>
          </w:tcPr>
          <w:p>
            <w:r>
              <w:rPr>
                <w:rFonts w:ascii="Calibri" w:hAnsi="Calibri"/>
                <w:sz w:val="22"/>
              </w:rPr>
              <w:t>0.93%</w:t>
            </w:r>
          </w:p>
        </w:tc>
        <w:tc>
          <w:tcPr>
            <w:tcW w:type="dxa" w:w="1234"/>
          </w:tcPr>
          <w:p>
            <w:r>
              <w:rPr>
                <w:rFonts w:ascii="Calibri" w:hAnsi="Calibri"/>
                <w:sz w:val="22"/>
              </w:rPr>
              <w:t>−40 bps</w:t>
            </w:r>
          </w:p>
        </w:tc>
        <w:tc>
          <w:tcPr>
            <w:tcW w:type="dxa" w:w="1234"/>
          </w:tcPr>
          <w:p>
            <w:r>
              <w:rPr>
                <w:rFonts w:ascii="Calibri" w:hAnsi="Calibri"/>
                <w:sz w:val="22"/>
              </w:rPr>
              <w:t>No explicit guidance; management targets continued improvement</w:t>
            </w:r>
          </w:p>
        </w:tc>
        <w:tc>
          <w:tcPr>
            <w:tcW w:type="dxa" w:w="1234"/>
          </w:tcPr>
          <w:p>
            <w:r>
              <w:rPr>
                <w:rFonts w:ascii="Calibri" w:hAnsi="Calibri"/>
                <w:sz w:val="22"/>
              </w:rPr>
              <w:t>Consensus implies meaningful improvement vs. Q1 exit rate</w:t>
            </w:r>
          </w:p>
        </w:tc>
      </w:tr>
      <w:tr>
        <w:tc>
          <w:tcPr>
            <w:tcW w:type="dxa" w:w="1234"/>
          </w:tcPr>
          <w:p>
            <w:r>
              <w:rPr>
                <w:rFonts w:ascii="Calibri" w:hAnsi="Calibri"/>
                <w:sz w:val="22"/>
              </w:rPr>
              <w:t>Fiber Broadband Net Adds (K)</w:t>
            </w:r>
          </w:p>
        </w:tc>
        <w:tc>
          <w:tcPr>
            <w:tcW w:type="dxa" w:w="1234"/>
          </w:tcPr>
          <w:p>
            <w:r>
              <w:rPr>
                <w:rFonts w:ascii="Calibri" w:hAnsi="Calibri"/>
                <w:sz w:val="22"/>
              </w:rPr>
              <w:t>~127K (organic)</w:t>
            </w:r>
          </w:p>
        </w:tc>
        <w:tc>
          <w:tcPr>
            <w:tcW w:type="dxa" w:w="1234"/>
          </w:tcPr>
          <w:p>
            <w:r>
              <w:rPr>
                <w:rFonts w:ascii="Calibri" w:hAnsi="Calibri"/>
                <w:sz w:val="22"/>
              </w:rPr>
              <w:t>32K</w:t>
            </w:r>
          </w:p>
        </w:tc>
        <w:tc>
          <w:tcPr>
            <w:tcW w:type="dxa" w:w="1234"/>
          </w:tcPr>
          <w:p>
            <w:r>
              <w:rPr>
                <w:rFonts w:ascii="Calibri" w:hAnsi="Calibri"/>
                <w:sz w:val="22"/>
              </w:rPr>
              <w:t>~131K</w:t>
            </w:r>
          </w:p>
        </w:tc>
        <w:tc>
          <w:tcPr>
            <w:tcW w:type="dxa" w:w="1234"/>
          </w:tcPr>
          <w:p>
            <w:r>
              <w:rPr>
                <w:rFonts w:ascii="Calibri" w:hAnsi="Calibri"/>
                <w:sz w:val="22"/>
              </w:rPr>
              <w:t>N/M (Frontier acquisition impact)</w:t>
            </w:r>
          </w:p>
        </w:tc>
        <w:tc>
          <w:tcPr>
            <w:tcW w:type="dxa" w:w="1234"/>
          </w:tcPr>
          <w:p>
            <w:r>
              <w:rPr>
                <w:rFonts w:ascii="Calibri" w:hAnsi="Calibri"/>
                <w:sz w:val="22"/>
              </w:rPr>
              <w:t>&gt;32M fiber passings by YE 2026</w:t>
            </w:r>
          </w:p>
        </w:tc>
        <w:tc>
          <w:tcPr>
            <w:tcW w:type="dxa" w:w="1234"/>
          </w:tcPr>
          <w:p>
            <w:r>
              <w:rPr>
                <w:rFonts w:ascii="Calibri" w:hAnsi="Calibri"/>
                <w:sz w:val="22"/>
              </w:rPr>
              <w:t>FY consensus ~3.4M total (includes Frontier acquired subs)</w:t>
            </w:r>
          </w:p>
        </w:tc>
      </w:tr>
    </w:tbl>
    <w:p>
      <w:r>
        <w:rPr>
          <w:rFonts w:ascii="Calibri" w:hAnsi="Calibri"/>
          <w:i/>
          <w:color w:val="525866"/>
          <w:sz w:val="22"/>
        </w:rPr>
        <w:t>Source: Visible Alpha Consensus and Actuals Data. All consensus figures as of July 23, 2026.</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Diluted Operating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$1.28</w:t>
            </w:r>
          </w:p>
        </w:tc>
        <w:tc>
          <w:tcPr>
            <w:tcW w:type="dxa" w:w="1728"/>
          </w:tcPr>
          <w:p>
            <w:r>
              <w:rPr>
                <w:rFonts w:ascii="Calibri" w:hAnsi="Calibri"/>
                <w:sz w:val="22"/>
              </w:rPr>
              <w:t>$1.21</w:t>
            </w:r>
          </w:p>
        </w:tc>
        <w:tc>
          <w:tcPr>
            <w:tcW w:type="dxa" w:w="1728"/>
          </w:tcPr>
          <w:p>
            <w:r>
              <w:rPr>
                <w:rFonts w:ascii="Calibri" w:hAnsi="Calibri"/>
                <w:sz w:val="22"/>
              </w:rPr>
              <w:t>+5.8%</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$1.09</w:t>
            </w:r>
          </w:p>
        </w:tc>
        <w:tc>
          <w:tcPr>
            <w:tcW w:type="dxa" w:w="1728"/>
          </w:tcPr>
          <w:p>
            <w:r>
              <w:rPr>
                <w:rFonts w:ascii="Calibri" w:hAnsi="Calibri"/>
                <w:sz w:val="22"/>
              </w:rPr>
              <w:t>$1.06</w:t>
            </w:r>
          </w:p>
        </w:tc>
        <w:tc>
          <w:tcPr>
            <w:tcW w:type="dxa" w:w="1728"/>
          </w:tcPr>
          <w:p>
            <w:r>
              <w:rPr>
                <w:rFonts w:ascii="Calibri" w:hAnsi="Calibri"/>
                <w:sz w:val="22"/>
              </w:rPr>
              <w:t>+2.8%</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$1.21</w:t>
            </w:r>
          </w:p>
        </w:tc>
        <w:tc>
          <w:tcPr>
            <w:tcW w:type="dxa" w:w="1728"/>
          </w:tcPr>
          <w:p>
            <w:r>
              <w:rPr>
                <w:rFonts w:ascii="Calibri" w:hAnsi="Calibri"/>
                <w:sz w:val="22"/>
              </w:rPr>
              <w:t>$1.20</w:t>
            </w:r>
          </w:p>
        </w:tc>
        <w:tc>
          <w:tcPr>
            <w:tcW w:type="dxa" w:w="1728"/>
          </w:tcPr>
          <w:p>
            <w:r>
              <w:rPr>
                <w:rFonts w:ascii="Calibri" w:hAnsi="Calibri"/>
                <w:sz w:val="22"/>
              </w:rPr>
              <w:t>+0.8%</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$1.22</w:t>
            </w:r>
          </w:p>
        </w:tc>
        <w:tc>
          <w:tcPr>
            <w:tcW w:type="dxa" w:w="1728"/>
          </w:tcPr>
          <w:p>
            <w:r>
              <w:rPr>
                <w:rFonts w:ascii="Calibri" w:hAnsi="Calibri"/>
                <w:sz w:val="22"/>
              </w:rPr>
              <w:t>$1.19</w:t>
            </w:r>
          </w:p>
        </w:tc>
        <w:tc>
          <w:tcPr>
            <w:tcW w:type="dxa" w:w="1728"/>
          </w:tcPr>
          <w:p>
            <w:r>
              <w:rPr>
                <w:rFonts w:ascii="Calibri" w:hAnsi="Calibri"/>
                <w:sz w:val="22"/>
              </w:rPr>
              <w:t>+2.5%</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$1.19</w:t>
            </w:r>
          </w:p>
        </w:tc>
        <w:tc>
          <w:tcPr>
            <w:tcW w:type="dxa" w:w="1728"/>
          </w:tcPr>
          <w:p>
            <w:r>
              <w:rPr>
                <w:rFonts w:ascii="Calibri" w:hAnsi="Calibri"/>
                <w:sz w:val="22"/>
              </w:rPr>
              <w:t>$1.15</w:t>
            </w:r>
          </w:p>
        </w:tc>
        <w:tc>
          <w:tcPr>
            <w:tcW w:type="dxa" w:w="1728"/>
          </w:tcPr>
          <w:p>
            <w:r>
              <w:rPr>
                <w:rFonts w:ascii="Calibri" w:hAnsi="Calibri"/>
                <w:sz w:val="22"/>
              </w:rPr>
              <w:t>+3.5%</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$1.10</w:t>
            </w:r>
          </w:p>
        </w:tc>
        <w:tc>
          <w:tcPr>
            <w:tcW w:type="dxa" w:w="1728"/>
          </w:tcPr>
          <w:p>
            <w:r>
              <w:rPr>
                <w:rFonts w:ascii="Calibri" w:hAnsi="Calibri"/>
                <w:sz w:val="22"/>
              </w:rPr>
              <w:t>$1.10</w:t>
            </w:r>
          </w:p>
        </w:tc>
        <w:tc>
          <w:tcPr>
            <w:tcW w:type="dxa" w:w="1728"/>
          </w:tcPr>
          <w:p>
            <w:r>
              <w:rPr>
                <w:rFonts w:ascii="Calibri" w:hAnsi="Calibri"/>
                <w:sz w:val="22"/>
              </w:rPr>
              <w:t>0.0%</w:t>
            </w:r>
          </w:p>
        </w:tc>
        <w:tc>
          <w:tcPr>
            <w:tcW w:type="dxa" w:w="1728"/>
          </w:tcPr>
          <w:p>
            <w:r>
              <w:rPr>
                <w:rFonts w:ascii="Calibri" w:hAnsi="Calibri"/>
                <w:sz w:val="22"/>
              </w:rPr>
              <w:t>In Line</w:t>
            </w:r>
          </w:p>
        </w:tc>
      </w:tr>
      <w:tr>
        <w:tc>
          <w:tcPr>
            <w:tcW w:type="dxa" w:w="1728"/>
          </w:tcPr>
          <w:p>
            <w:r>
              <w:rPr>
                <w:rFonts w:ascii="Calibri" w:hAnsi="Calibri"/>
                <w:sz w:val="22"/>
              </w:rPr>
              <w:t>Q3 2024</w:t>
            </w:r>
          </w:p>
        </w:tc>
        <w:tc>
          <w:tcPr>
            <w:tcW w:type="dxa" w:w="1728"/>
          </w:tcPr>
          <w:p>
            <w:r>
              <w:rPr>
                <w:rFonts w:ascii="Calibri" w:hAnsi="Calibri"/>
                <w:sz w:val="22"/>
              </w:rPr>
              <w:t>$1.19</w:t>
            </w:r>
          </w:p>
        </w:tc>
        <w:tc>
          <w:tcPr>
            <w:tcW w:type="dxa" w:w="1728"/>
          </w:tcPr>
          <w:p>
            <w:r>
              <w:rPr>
                <w:rFonts w:ascii="Calibri" w:hAnsi="Calibri"/>
                <w:sz w:val="22"/>
              </w:rPr>
              <w:t>$1.18</w:t>
            </w:r>
          </w:p>
        </w:tc>
        <w:tc>
          <w:tcPr>
            <w:tcW w:type="dxa" w:w="1728"/>
          </w:tcPr>
          <w:p>
            <w:r>
              <w:rPr>
                <w:rFonts w:ascii="Calibri" w:hAnsi="Calibri"/>
                <w:sz w:val="22"/>
              </w:rPr>
              <w:t>+0.8%</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VZ has beaten or matched EPS consensus in 7 of the last 7 reported quarters, with beats typically in the +1% to +6% range — a consistent but not dramatic outperformance track record.</w:t>
      </w:r>
    </w:p>
    <w:p>
      <w:pPr>
        <w:pStyle w:val="Heading4"/>
      </w:pPr>
      <w:r>
        <w:rPr>
          <w:rFonts w:ascii="Calibri" w:hAnsi="Calibri"/>
          <w:b/>
          <w:color w:val="3B4259"/>
          <w:sz w:val="22"/>
        </w:rPr>
        <w:t>Postpaid Phone Net Adds (K)</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(K)</w:t>
            </w:r>
          </w:p>
        </w:tc>
        <w:tc>
          <w:tcPr>
            <w:tcW w:type="dxa" w:w="1728"/>
            <w:shd w:val="clear" w:color="auto" w:fill="3B4259"/>
          </w:tcPr>
          <w:p>
            <w:r>
              <w:rPr>
                <w:rFonts w:ascii="Calibri" w:hAnsi="Calibri"/>
                <w:b/>
                <w:color w:val="FFFFFF"/>
                <w:sz w:val="22"/>
              </w:rPr>
              <w:t>Consensus (K)</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+52K</w:t>
            </w:r>
          </w:p>
        </w:tc>
        <w:tc>
          <w:tcPr>
            <w:tcW w:type="dxa" w:w="1728"/>
          </w:tcPr>
          <w:p>
            <w:r>
              <w:rPr>
                <w:rFonts w:ascii="Calibri" w:hAnsi="Calibri"/>
                <w:sz w:val="22"/>
              </w:rPr>
              <w:t>−83K</w:t>
            </w:r>
          </w:p>
        </w:tc>
        <w:tc>
          <w:tcPr>
            <w:tcW w:type="dxa" w:w="1728"/>
          </w:tcPr>
          <w:p>
            <w:r>
              <w:rPr>
                <w:rFonts w:ascii="Calibri" w:hAnsi="Calibri"/>
                <w:sz w:val="22"/>
              </w:rPr>
              <w:t>N/M</w:t>
            </w:r>
          </w:p>
        </w:tc>
        <w:tc>
          <w:tcPr>
            <w:tcW w:type="dxa" w:w="1728"/>
          </w:tcPr>
          <w:p>
            <w:r>
              <w:rPr>
                <w:rFonts w:ascii="Calibri" w:hAnsi="Calibri"/>
                <w:b/>
                <w:color w:val="30A46C"/>
                <w:sz w:val="22"/>
              </w:rPr>
              <w:t>Significant Beat</w:t>
            </w:r>
          </w:p>
        </w:tc>
      </w:tr>
      <w:tr>
        <w:tc>
          <w:tcPr>
            <w:tcW w:type="dxa" w:w="1728"/>
          </w:tcPr>
          <w:p>
            <w:r>
              <w:rPr>
                <w:rFonts w:ascii="Calibri" w:hAnsi="Calibri"/>
                <w:sz w:val="22"/>
              </w:rPr>
              <w:t>Q4 2025</w:t>
            </w:r>
          </w:p>
        </w:tc>
        <w:tc>
          <w:tcPr>
            <w:tcW w:type="dxa" w:w="1728"/>
          </w:tcPr>
          <w:p>
            <w:r>
              <w:rPr>
                <w:rFonts w:ascii="Calibri" w:hAnsi="Calibri"/>
                <w:sz w:val="22"/>
              </w:rPr>
              <w:t>+622K</w:t>
            </w:r>
          </w:p>
        </w:tc>
        <w:tc>
          <w:tcPr>
            <w:tcW w:type="dxa" w:w="1728"/>
          </w:tcPr>
          <w:p>
            <w:r>
              <w:rPr>
                <w:rFonts w:ascii="Calibri" w:hAnsi="Calibri"/>
                <w:sz w:val="22"/>
              </w:rPr>
              <w:t>+436K</w:t>
            </w:r>
          </w:p>
        </w:tc>
        <w:tc>
          <w:tcPr>
            <w:tcW w:type="dxa" w:w="1728"/>
          </w:tcPr>
          <w:p>
            <w:r>
              <w:rPr>
                <w:rFonts w:ascii="Calibri" w:hAnsi="Calibri"/>
                <w:sz w:val="22"/>
              </w:rPr>
              <w:t>+42.7%</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+39K</w:t>
            </w:r>
          </w:p>
        </w:tc>
        <w:tc>
          <w:tcPr>
            <w:tcW w:type="dxa" w:w="1728"/>
          </w:tcPr>
          <w:p>
            <w:r>
              <w:rPr>
                <w:rFonts w:ascii="Calibri" w:hAnsi="Calibri"/>
                <w:sz w:val="22"/>
              </w:rPr>
              <w:t>+26K</w:t>
            </w:r>
          </w:p>
        </w:tc>
        <w:tc>
          <w:tcPr>
            <w:tcW w:type="dxa" w:w="1728"/>
          </w:tcPr>
          <w:p>
            <w:r>
              <w:rPr>
                <w:rFonts w:ascii="Calibri" w:hAnsi="Calibri"/>
                <w:sz w:val="22"/>
              </w:rPr>
              <w:t>+50.0%</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−7K</w:t>
            </w:r>
          </w:p>
        </w:tc>
        <w:tc>
          <w:tcPr>
            <w:tcW w:type="dxa" w:w="1728"/>
          </w:tcPr>
          <w:p>
            <w:r>
              <w:rPr>
                <w:rFonts w:ascii="Calibri" w:hAnsi="Calibri"/>
                <w:sz w:val="22"/>
              </w:rPr>
              <w:t>−3K</w:t>
            </w:r>
          </w:p>
        </w:tc>
        <w:tc>
          <w:tcPr>
            <w:tcW w:type="dxa" w:w="1728"/>
          </w:tcPr>
          <w:p>
            <w:r>
              <w:rPr>
                <w:rFonts w:ascii="Calibri" w:hAnsi="Calibri"/>
                <w:sz w:val="22"/>
              </w:rPr>
              <w:t>N/M</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−303K</w:t>
            </w:r>
          </w:p>
        </w:tc>
        <w:tc>
          <w:tcPr>
            <w:tcW w:type="dxa" w:w="1728"/>
          </w:tcPr>
          <w:p>
            <w:r>
              <w:rPr>
                <w:rFonts w:ascii="Calibri" w:hAnsi="Calibri"/>
                <w:sz w:val="22"/>
              </w:rPr>
              <w:t>−218K</w:t>
            </w:r>
          </w:p>
        </w:tc>
        <w:tc>
          <w:tcPr>
            <w:tcW w:type="dxa" w:w="1728"/>
          </w:tcPr>
          <w:p>
            <w:r>
              <w:rPr>
                <w:rFonts w:ascii="Calibri" w:hAnsi="Calibri"/>
                <w:sz w:val="22"/>
              </w:rPr>
              <w:t>N/M</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+502K</w:t>
            </w:r>
          </w:p>
        </w:tc>
        <w:tc>
          <w:tcPr>
            <w:tcW w:type="dxa" w:w="1728"/>
          </w:tcPr>
          <w:p>
            <w:r>
              <w:rPr>
                <w:rFonts w:ascii="Calibri" w:hAnsi="Calibri"/>
                <w:sz w:val="22"/>
              </w:rPr>
              <w:t>+482K</w:t>
            </w:r>
          </w:p>
        </w:tc>
        <w:tc>
          <w:tcPr>
            <w:tcW w:type="dxa" w:w="1728"/>
          </w:tcPr>
          <w:p>
            <w:r>
              <w:rPr>
                <w:rFonts w:ascii="Calibri" w:hAnsi="Calibri"/>
                <w:sz w:val="22"/>
              </w:rPr>
              <w:t>+4.1%</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+163K</w:t>
            </w:r>
          </w:p>
        </w:tc>
        <w:tc>
          <w:tcPr>
            <w:tcW w:type="dxa" w:w="1728"/>
          </w:tcPr>
          <w:p>
            <w:r>
              <w:rPr>
                <w:rFonts w:ascii="Calibri" w:hAnsi="Calibri"/>
                <w:sz w:val="22"/>
              </w:rPr>
              <w:t>+235K</w:t>
            </w:r>
          </w:p>
        </w:tc>
        <w:tc>
          <w:tcPr>
            <w:tcW w:type="dxa" w:w="1728"/>
          </w:tcPr>
          <w:p>
            <w:r>
              <w:rPr>
                <w:rFonts w:ascii="Calibri" w:hAnsi="Calibri"/>
                <w:sz w:val="22"/>
              </w:rPr>
              <w:t>−30.6%</w:t>
            </w:r>
          </w:p>
        </w:tc>
        <w:tc>
          <w:tcPr>
            <w:tcW w:type="dxa" w:w="1728"/>
          </w:tcPr>
          <w:p>
            <w:r>
              <w:rPr>
                <w:rFonts w:ascii="Calibri" w:hAnsi="Calibri"/>
                <w:b/>
                <w:color w:val="E5484D"/>
                <w:sz w:val="22"/>
              </w:rPr>
              <w:t>Miss</w:t>
            </w:r>
          </w:p>
        </w:tc>
      </w:tr>
      <w:tr>
        <w:tc>
          <w:tcPr>
            <w:tcW w:type="dxa" w:w="1728"/>
          </w:tcPr>
          <w:p>
            <w:r>
              <w:rPr>
                <w:rFonts w:ascii="Calibri" w:hAnsi="Calibri"/>
                <w:sz w:val="22"/>
              </w:rPr>
              <w:t>Q2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Net adds history is mixed — VZ missed badly in early 2025 before the turnaround took hold, then dramatically beat in Q4 2025 and Q1 2026. The turnaround trajectory is clear, but the bar is now higher and execution risk remains.</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 raised full-year EPS and net-adds guidance at Q1 earnings (April 27) and has not revised since. Tone is the most confident it has been in years — Q1 was explicitly called the “low point” for service revenue, setting up a Q2 inflection.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27)</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Adjusted EPS Growth (FY 2026)</w:t>
            </w:r>
          </w:p>
        </w:tc>
        <w:tc>
          <w:tcPr>
            <w:tcW w:type="dxa" w:w="1728"/>
          </w:tcPr>
          <w:p>
            <w:r>
              <w:rPr>
                <w:rFonts w:ascii="Calibri" w:hAnsi="Calibri"/>
                <w:sz w:val="22"/>
              </w:rPr>
              <w:t>5%–6% YoY (raised from prior 4%–5%)</w:t>
            </w:r>
          </w:p>
        </w:tc>
        <w:tc>
          <w:tcPr>
            <w:tcW w:type="dxa" w:w="1728"/>
          </w:tcPr>
          <w:p>
            <w:r>
              <w:rPr>
                <w:rFonts w:ascii="Calibri" w:hAnsi="Calibri"/>
                <w:sz w:val="22"/>
              </w:rPr>
              <w:t>—</w:t>
            </w:r>
          </w:p>
        </w:tc>
        <w:tc>
          <w:tcPr>
            <w:tcW w:type="dxa" w:w="1728"/>
          </w:tcPr>
          <w:p>
            <w:r>
              <w:rPr>
                <w:rFonts w:ascii="Calibri" w:hAnsi="Calibri"/>
                <w:sz w:val="22"/>
              </w:rPr>
              <w:t>$4.95 (implies ~5% growth)</w:t>
            </w:r>
          </w:p>
        </w:tc>
        <w:tc>
          <w:tcPr>
            <w:tcW w:type="dxa" w:w="1728"/>
          </w:tcPr>
          <w:p>
            <w:r>
              <w:rPr>
                <w:rFonts w:ascii="Calibri" w:hAnsi="Calibri"/>
                <w:sz w:val="22"/>
              </w:rPr>
              <w:t>↑ Raised at Q1 earnings Apr 27, 2026; highest EPS growth guidance in years; tone highly confident</w:t>
            </w:r>
          </w:p>
        </w:tc>
      </w:tr>
      <w:tr>
        <w:tc>
          <w:tcPr>
            <w:tcW w:type="dxa" w:w="1728"/>
          </w:tcPr>
          <w:p>
            <w:r>
              <w:rPr>
                <w:rFonts w:ascii="Calibri" w:hAnsi="Calibri"/>
                <w:sz w:val="22"/>
              </w:rPr>
              <w:t>Mobility &amp; Broadband Service Revenue Growth (FY 2026)</w:t>
            </w:r>
          </w:p>
        </w:tc>
        <w:tc>
          <w:tcPr>
            <w:tcW w:type="dxa" w:w="1728"/>
          </w:tcPr>
          <w:p>
            <w:r>
              <w:rPr>
                <w:rFonts w:ascii="Calibri" w:hAnsi="Calibri"/>
                <w:sz w:val="22"/>
              </w:rPr>
              <w:t>2%–3% YoY; Q1 called “low point of 2026”</w:t>
            </w:r>
          </w:p>
        </w:tc>
        <w:tc>
          <w:tcPr>
            <w:tcW w:type="dxa" w:w="1728"/>
          </w:tcPr>
          <w:p>
            <w:r>
              <w:rPr>
                <w:rFonts w:ascii="Calibri" w:hAnsi="Calibri"/>
                <w:sz w:val="22"/>
              </w:rPr>
              <w:t>—</w:t>
            </w:r>
          </w:p>
        </w:tc>
        <w:tc>
          <w:tcPr>
            <w:tcW w:type="dxa" w:w="1728"/>
          </w:tcPr>
          <w:p>
            <w:r>
              <w:rPr>
                <w:rFonts w:ascii="Calibri" w:hAnsi="Calibri"/>
                <w:sz w:val="22"/>
              </w:rPr>
              <w:t>FY revenue consensus $142.5B</w:t>
            </w:r>
          </w:p>
        </w:tc>
        <w:tc>
          <w:tcPr>
            <w:tcW w:type="dxa" w:w="1728"/>
          </w:tcPr>
          <w:p>
            <w:r>
              <w:rPr>
                <w:rFonts w:ascii="Calibri" w:hAnsi="Calibri"/>
                <w:sz w:val="22"/>
              </w:rPr>
              <w:t>Reaffirmed at Q1 earnings; management “highly confident” in range; Q2 inflection expected</w:t>
            </w:r>
          </w:p>
        </w:tc>
      </w:tr>
      <w:tr>
        <w:tc>
          <w:tcPr>
            <w:tcW w:type="dxa" w:w="1728"/>
          </w:tcPr>
          <w:p>
            <w:r>
              <w:rPr>
                <w:rFonts w:ascii="Calibri" w:hAnsi="Calibri"/>
                <w:sz w:val="22"/>
              </w:rPr>
              <w:t>Free Cash Flow Growth (FY 2026)</w:t>
            </w:r>
          </w:p>
        </w:tc>
        <w:tc>
          <w:tcPr>
            <w:tcW w:type="dxa" w:w="1728"/>
          </w:tcPr>
          <w:p>
            <w:r>
              <w:rPr>
                <w:rFonts w:ascii="Calibri" w:hAnsi="Calibri"/>
                <w:sz w:val="22"/>
              </w:rPr>
              <w:t>~7%+ YoY; FY target ≥$21.5B</w:t>
            </w:r>
          </w:p>
        </w:tc>
        <w:tc>
          <w:tcPr>
            <w:tcW w:type="dxa" w:w="1728"/>
          </w:tcPr>
          <w:p>
            <w:r>
              <w:rPr>
                <w:rFonts w:ascii="Calibri" w:hAnsi="Calibri"/>
                <w:sz w:val="22"/>
              </w:rPr>
              <w:t>—</w:t>
            </w:r>
          </w:p>
        </w:tc>
        <w:tc>
          <w:tcPr>
            <w:tcW w:type="dxa" w:w="1728"/>
          </w:tcPr>
          <w:p>
            <w:r>
              <w:rPr>
                <w:rFonts w:ascii="Calibri" w:hAnsi="Calibri"/>
                <w:sz w:val="22"/>
              </w:rPr>
              <w:t>$21.8B (FY consensus)</w:t>
            </w:r>
          </w:p>
        </w:tc>
        <w:tc>
          <w:tcPr>
            <w:tcW w:type="dxa" w:w="1728"/>
          </w:tcPr>
          <w:p>
            <w:r>
              <w:rPr>
                <w:rFonts w:ascii="Calibri" w:hAnsi="Calibri"/>
                <w:sz w:val="22"/>
              </w:rPr>
              <w:t>Reaffirmed at Q1 earnings; FCF expected to ramp as OpEx savings realize</w:t>
            </w:r>
          </w:p>
        </w:tc>
      </w:tr>
      <w:tr>
        <w:tc>
          <w:tcPr>
            <w:tcW w:type="dxa" w:w="1728"/>
          </w:tcPr>
          <w:p>
            <w:r>
              <w:rPr>
                <w:rFonts w:ascii="Calibri" w:hAnsi="Calibri"/>
                <w:sz w:val="22"/>
              </w:rPr>
              <w:t>Postpaid Phone Net Adds (FY 2026)</w:t>
            </w:r>
          </w:p>
        </w:tc>
        <w:tc>
          <w:tcPr>
            <w:tcW w:type="dxa" w:w="1728"/>
          </w:tcPr>
          <w:p>
            <w:r>
              <w:rPr>
                <w:rFonts w:ascii="Calibri" w:hAnsi="Calibri"/>
                <w:sz w:val="22"/>
              </w:rPr>
              <w:t>Upper half of 750K–1M range (raised from prior full range)</w:t>
            </w:r>
          </w:p>
        </w:tc>
        <w:tc>
          <w:tcPr>
            <w:tcW w:type="dxa" w:w="1728"/>
          </w:tcPr>
          <w:p>
            <w:r>
              <w:rPr>
                <w:rFonts w:ascii="Calibri" w:hAnsi="Calibri"/>
                <w:sz w:val="22"/>
              </w:rPr>
              <w:t>—</w:t>
            </w:r>
          </w:p>
        </w:tc>
        <w:tc>
          <w:tcPr>
            <w:tcW w:type="dxa" w:w="1728"/>
          </w:tcPr>
          <w:p>
            <w:r>
              <w:rPr>
                <w:rFonts w:ascii="Calibri" w:hAnsi="Calibri"/>
                <w:sz w:val="22"/>
              </w:rPr>
              <w:t>~926K (FY consensus)</w:t>
            </w:r>
          </w:p>
        </w:tc>
        <w:tc>
          <w:tcPr>
            <w:tcW w:type="dxa" w:w="1728"/>
          </w:tcPr>
          <w:p>
            <w:r>
              <w:rPr>
                <w:rFonts w:ascii="Calibri" w:hAnsi="Calibri"/>
                <w:sz w:val="22"/>
              </w:rPr>
              <w:t>↑ Raised at Q1 earnings Apr 27, 2026; management “ahead of pace”; continued Q2 momentum signaled</w:t>
            </w:r>
          </w:p>
        </w:tc>
      </w:tr>
      <w:tr>
        <w:tc>
          <w:tcPr>
            <w:tcW w:type="dxa" w:w="1728"/>
          </w:tcPr>
          <w:p>
            <w:r>
              <w:rPr>
                <w:rFonts w:ascii="Calibri" w:hAnsi="Calibri"/>
                <w:sz w:val="22"/>
              </w:rPr>
              <w:t>CapEx (FY 2026)</w:t>
            </w:r>
          </w:p>
        </w:tc>
        <w:tc>
          <w:tcPr>
            <w:tcW w:type="dxa" w:w="1728"/>
          </w:tcPr>
          <w:p>
            <w:r>
              <w:rPr>
                <w:rFonts w:ascii="Calibri" w:hAnsi="Calibri"/>
                <w:sz w:val="22"/>
              </w:rPr>
              <w:t>$16.0B–$16.5B</w:t>
            </w:r>
          </w:p>
        </w:tc>
        <w:tc>
          <w:tcPr>
            <w:tcW w:type="dxa" w:w="1728"/>
          </w:tcPr>
          <w:p>
            <w:r>
              <w:rPr>
                <w:rFonts w:ascii="Calibri" w:hAnsi="Calibri"/>
                <w:sz w:val="22"/>
              </w:rPr>
              <w:t>—</w:t>
            </w:r>
          </w:p>
        </w:tc>
        <w:tc>
          <w:tcPr>
            <w:tcW w:type="dxa" w:w="1728"/>
          </w:tcPr>
          <w:p>
            <w:r>
              <w:rPr>
                <w:rFonts w:ascii="Calibri" w:hAnsi="Calibri"/>
                <w:sz w:val="22"/>
              </w:rPr>
              <w:t>N/A — not tracked separately in VA</w:t>
            </w:r>
          </w:p>
        </w:tc>
        <w:tc>
          <w:tcPr>
            <w:tcW w:type="dxa" w:w="1728"/>
          </w:tcPr>
          <w:p>
            <w:r>
              <w:rPr>
                <w:rFonts w:ascii="Calibri" w:hAnsi="Calibri"/>
                <w:sz w:val="22"/>
              </w:rPr>
              <w:t>Reaffirmed at Q1 earnings; management noted potential for future efficiency gains</w:t>
            </w:r>
          </w:p>
        </w:tc>
      </w:tr>
      <w:tr>
        <w:tc>
          <w:tcPr>
            <w:tcW w:type="dxa" w:w="1728"/>
          </w:tcPr>
          <w:p>
            <w:r>
              <w:rPr>
                <w:rFonts w:ascii="Calibri" w:hAnsi="Calibri"/>
                <w:sz w:val="22"/>
              </w:rPr>
              <w:t>OpEx Savings (FY 2026)</w:t>
            </w:r>
          </w:p>
        </w:tc>
        <w:tc>
          <w:tcPr>
            <w:tcW w:type="dxa" w:w="1728"/>
          </w:tcPr>
          <w:p>
            <w:r>
              <w:rPr>
                <w:rFonts w:ascii="Calibri" w:hAnsi="Calibri"/>
                <w:sz w:val="22"/>
              </w:rPr>
              <w:t>$5B target; potential upside signaled</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On track per Q1 call; management sees upside to $5B target</w:t>
            </w:r>
          </w:p>
        </w:tc>
      </w:tr>
      <w:tr>
        <w:tc>
          <w:tcPr>
            <w:tcW w:type="dxa" w:w="1728"/>
          </w:tcPr>
          <w:p>
            <w:r>
              <w:rPr>
                <w:rFonts w:ascii="Calibri" w:hAnsi="Calibri"/>
                <w:sz w:val="22"/>
              </w:rPr>
              <w:t>Fiber Passings (YE 2026)</w:t>
            </w:r>
          </w:p>
        </w:tc>
        <w:tc>
          <w:tcPr>
            <w:tcW w:type="dxa" w:w="1728"/>
          </w:tcPr>
          <w:p>
            <w:r>
              <w:rPr>
                <w:rFonts w:ascii="Calibri" w:hAnsi="Calibri"/>
                <w:sz w:val="22"/>
              </w:rPr>
              <w:t>&gt;32M fiber passings by year-end</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Reaffirmed; Frontier integration on track for &gt;$1B run-rate synergies by 2028</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drifted modestly lower since the Q1 print — Q2 EPS consensus slipped ~1% from the post-earnings baseline — suggesting the Street is not fully embracing the turnaround narrative. The gap between management’s raised guidance and current consensus represents potential upside if execution holds.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~5 Days Post Q1 Earnings (May 4, 2026)</w:t>
            </w:r>
          </w:p>
        </w:tc>
        <w:tc>
          <w:tcPr>
            <w:tcW w:type="dxa" w:w="1080"/>
            <w:shd w:val="clear" w:color="auto" w:fill="3B4259"/>
          </w:tcPr>
          <w:p>
            <w:r>
              <w:rPr>
                <w:rFonts w:ascii="Calibri" w:hAnsi="Calibri"/>
                <w:b/>
                <w:color w:val="FFFFFF"/>
                <w:sz w:val="22"/>
              </w:rPr>
              <w:t>Current Consensus (Jul 23,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 Apr 27)</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Diluted Operating EPS — Q2 2026</w:t>
            </w:r>
          </w:p>
        </w:tc>
        <w:tc>
          <w:tcPr>
            <w:tcW w:type="dxa" w:w="1080"/>
          </w:tcPr>
          <w:p>
            <w:r>
              <w:rPr>
                <w:rFonts w:ascii="Calibri" w:hAnsi="Calibri"/>
                <w:sz w:val="22"/>
              </w:rPr>
              <w:t>$1.27</w:t>
            </w:r>
          </w:p>
        </w:tc>
        <w:tc>
          <w:tcPr>
            <w:tcW w:type="dxa" w:w="1080"/>
          </w:tcPr>
          <w:p>
            <w:r>
              <w:rPr>
                <w:rFonts w:ascii="Calibri" w:hAnsi="Calibri"/>
                <w:sz w:val="22"/>
              </w:rPr>
              <w:t>$1.26</w:t>
            </w:r>
          </w:p>
        </w:tc>
        <w:tc>
          <w:tcPr>
            <w:tcW w:type="dxa" w:w="1080"/>
          </w:tcPr>
          <w:p>
            <w:r>
              <w:rPr>
                <w:rFonts w:ascii="Calibri" w:hAnsi="Calibri"/>
                <w:sz w:val="22"/>
              </w:rPr>
              <w:t>−0.8%</w:t>
            </w:r>
          </w:p>
        </w:tc>
        <w:tc>
          <w:tcPr>
            <w:tcW w:type="dxa" w:w="1080"/>
          </w:tcPr>
          <w:p>
            <w:r>
              <w:rPr>
                <w:rFonts w:ascii="Calibri" w:hAnsi="Calibri"/>
                <w:sz w:val="22"/>
              </w:rPr>
              <w:t>5%–6% FY growth (implies ~$1.25–$1.30 Q2 range)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Within guidance range; modest cushion to midpoint</w:t>
            </w:r>
          </w:p>
        </w:tc>
      </w:tr>
      <w:tr>
        <w:tc>
          <w:tcPr>
            <w:tcW w:type="dxa" w:w="1080"/>
          </w:tcPr>
          <w:p>
            <w:r>
              <w:rPr>
                <w:rFonts w:ascii="Calibri" w:hAnsi="Calibri"/>
                <w:sz w:val="22"/>
              </w:rPr>
              <w:t>Diluted Operating EPS — FY 2026</w:t>
            </w:r>
          </w:p>
        </w:tc>
        <w:tc>
          <w:tcPr>
            <w:tcW w:type="dxa" w:w="1080"/>
          </w:tcPr>
          <w:p>
            <w:r>
              <w:rPr>
                <w:rFonts w:ascii="Calibri" w:hAnsi="Calibri"/>
                <w:sz w:val="22"/>
              </w:rPr>
              <w:t>$4.96</w:t>
            </w:r>
          </w:p>
        </w:tc>
        <w:tc>
          <w:tcPr>
            <w:tcW w:type="dxa" w:w="1080"/>
          </w:tcPr>
          <w:p>
            <w:r>
              <w:rPr>
                <w:rFonts w:ascii="Calibri" w:hAnsi="Calibri"/>
                <w:sz w:val="22"/>
              </w:rPr>
              <w:t>$4.95</w:t>
            </w:r>
          </w:p>
        </w:tc>
        <w:tc>
          <w:tcPr>
            <w:tcW w:type="dxa" w:w="1080"/>
          </w:tcPr>
          <w:p>
            <w:r>
              <w:rPr>
                <w:rFonts w:ascii="Calibri" w:hAnsi="Calibri"/>
                <w:sz w:val="22"/>
              </w:rPr>
              <w:t>−0.2%</w:t>
            </w:r>
          </w:p>
        </w:tc>
        <w:tc>
          <w:tcPr>
            <w:tcW w:type="dxa" w:w="1080"/>
          </w:tcPr>
          <w:p>
            <w:r>
              <w:rPr>
                <w:rFonts w:ascii="Calibri" w:hAnsi="Calibri"/>
                <w:sz w:val="22"/>
              </w:rPr>
              <w:t>5%–6% growth (implies ~$4.93–$5.00)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low end of guidance range; upside if execution beats</w:t>
            </w:r>
          </w:p>
        </w:tc>
      </w:tr>
      <w:tr>
        <w:tc>
          <w:tcPr>
            <w:tcW w:type="dxa" w:w="1080"/>
          </w:tcPr>
          <w:p>
            <w:r>
              <w:rPr>
                <w:rFonts w:ascii="Calibri" w:hAnsi="Calibri"/>
                <w:sz w:val="22"/>
              </w:rPr>
              <w:t>Operating Revenues — Q2 2026</w:t>
            </w:r>
          </w:p>
        </w:tc>
        <w:tc>
          <w:tcPr>
            <w:tcW w:type="dxa" w:w="1080"/>
          </w:tcPr>
          <w:p>
            <w:r>
              <w:rPr>
                <w:rFonts w:ascii="Calibri" w:hAnsi="Calibri"/>
                <w:sz w:val="22"/>
              </w:rPr>
              <w:t>$35.6B</w:t>
            </w:r>
          </w:p>
        </w:tc>
        <w:tc>
          <w:tcPr>
            <w:tcW w:type="dxa" w:w="1080"/>
          </w:tcPr>
          <w:p>
            <w:r>
              <w:rPr>
                <w:rFonts w:ascii="Calibri" w:hAnsi="Calibri"/>
                <w:sz w:val="22"/>
              </w:rPr>
              <w:t>$35.3B</w:t>
            </w:r>
          </w:p>
        </w:tc>
        <w:tc>
          <w:tcPr>
            <w:tcW w:type="dxa" w:w="1080"/>
          </w:tcPr>
          <w:p>
            <w:r>
              <w:rPr>
                <w:rFonts w:ascii="Calibri" w:hAnsi="Calibri"/>
                <w:sz w:val="22"/>
              </w:rPr>
              <w:t>−0.8%</w:t>
            </w:r>
          </w:p>
        </w:tc>
        <w:tc>
          <w:tcPr>
            <w:tcW w:type="dxa" w:w="1080"/>
          </w:tcPr>
          <w:p>
            <w:r>
              <w:rPr>
                <w:rFonts w:ascii="Calibri" w:hAnsi="Calibri"/>
                <w:sz w:val="22"/>
              </w:rPr>
              <w:t>Mobility &amp; broadband +2%–3%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Slightly below initial post-print baseline; Q1 outage credit lapping</w:t>
            </w:r>
          </w:p>
        </w:tc>
      </w:tr>
      <w:tr>
        <w:tc>
          <w:tcPr>
            <w:tcW w:type="dxa" w:w="1080"/>
          </w:tcPr>
          <w:p>
            <w:r>
              <w:rPr>
                <w:rFonts w:ascii="Calibri" w:hAnsi="Calibri"/>
                <w:sz w:val="22"/>
              </w:rPr>
              <w:t>Operating Revenues — FY 2026</w:t>
            </w:r>
          </w:p>
        </w:tc>
        <w:tc>
          <w:tcPr>
            <w:tcW w:type="dxa" w:w="1080"/>
          </w:tcPr>
          <w:p>
            <w:r>
              <w:rPr>
                <w:rFonts w:ascii="Calibri" w:hAnsi="Calibri"/>
                <w:sz w:val="22"/>
              </w:rPr>
              <w:t>$143.0B</w:t>
            </w:r>
          </w:p>
        </w:tc>
        <w:tc>
          <w:tcPr>
            <w:tcW w:type="dxa" w:w="1080"/>
          </w:tcPr>
          <w:p>
            <w:r>
              <w:rPr>
                <w:rFonts w:ascii="Calibri" w:hAnsi="Calibri"/>
                <w:sz w:val="22"/>
              </w:rPr>
              <w:t>$142.5B</w:t>
            </w:r>
          </w:p>
        </w:tc>
        <w:tc>
          <w:tcPr>
            <w:tcW w:type="dxa" w:w="1080"/>
          </w:tcPr>
          <w:p>
            <w:r>
              <w:rPr>
                <w:rFonts w:ascii="Calibri" w:hAnsi="Calibri"/>
                <w:sz w:val="22"/>
              </w:rPr>
              <w:t>−0.3%</w:t>
            </w:r>
          </w:p>
        </w:tc>
        <w:tc>
          <w:tcPr>
            <w:tcW w:type="dxa" w:w="1080"/>
          </w:tcPr>
          <w:p>
            <w:r>
              <w:rPr>
                <w:rFonts w:ascii="Calibri" w:hAnsi="Calibri"/>
                <w:sz w:val="22"/>
              </w:rPr>
              <w:t>+2%–3% service rev.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Modest drift lower; within guidance range</w:t>
            </w:r>
          </w:p>
        </w:tc>
      </w:tr>
      <w:tr>
        <w:tc>
          <w:tcPr>
            <w:tcW w:type="dxa" w:w="1080"/>
          </w:tcPr>
          <w:p>
            <w:r>
              <w:rPr>
                <w:rFonts w:ascii="Calibri" w:hAnsi="Calibri"/>
                <w:sz w:val="22"/>
              </w:rPr>
              <w:t>Adjusted EBITDA — Q2 2026</w:t>
            </w:r>
          </w:p>
        </w:tc>
        <w:tc>
          <w:tcPr>
            <w:tcW w:type="dxa" w:w="1080"/>
          </w:tcPr>
          <w:p>
            <w:r>
              <w:rPr>
                <w:rFonts w:ascii="Calibri" w:hAnsi="Calibri"/>
                <w:sz w:val="22"/>
              </w:rPr>
              <w:t>$13.6B</w:t>
            </w:r>
          </w:p>
        </w:tc>
        <w:tc>
          <w:tcPr>
            <w:tcW w:type="dxa" w:w="1080"/>
          </w:tcPr>
          <w:p>
            <w:r>
              <w:rPr>
                <w:rFonts w:ascii="Calibri" w:hAnsi="Calibri"/>
                <w:sz w:val="22"/>
              </w:rPr>
              <w:t>$13.6B</w:t>
            </w:r>
          </w:p>
        </w:tc>
        <w:tc>
          <w:tcPr>
            <w:tcW w:type="dxa" w:w="1080"/>
          </w:tcPr>
          <w:p>
            <w:r>
              <w:rPr>
                <w:rFonts w:ascii="Calibri" w:hAnsi="Calibri"/>
                <w:sz w:val="22"/>
              </w:rPr>
              <w:t>0.0%</w:t>
            </w:r>
          </w:p>
        </w:tc>
        <w:tc>
          <w:tcPr>
            <w:tcW w:type="dxa" w:w="1080"/>
          </w:tcPr>
          <w:p>
            <w:r>
              <w:rPr>
                <w:rFonts w:ascii="Calibri" w:hAnsi="Calibri"/>
                <w:sz w:val="22"/>
              </w:rPr>
              <w:t>Record EBITDA trajectory; FY ~$53.6B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Stable; EBITDA estimates most anchored of all KPIs</w:t>
            </w:r>
          </w:p>
        </w:tc>
      </w:tr>
      <w:tr>
        <w:tc>
          <w:tcPr>
            <w:tcW w:type="dxa" w:w="1080"/>
          </w:tcPr>
          <w:p>
            <w:r>
              <w:rPr>
                <w:rFonts w:ascii="Calibri" w:hAnsi="Calibri"/>
                <w:sz w:val="22"/>
              </w:rPr>
              <w:t>Free Cash Flow — Q2 2026</w:t>
            </w:r>
          </w:p>
        </w:tc>
        <w:tc>
          <w:tcPr>
            <w:tcW w:type="dxa" w:w="1080"/>
          </w:tcPr>
          <w:p>
            <w:r>
              <w:rPr>
                <w:rFonts w:ascii="Calibri" w:hAnsi="Calibri"/>
                <w:sz w:val="22"/>
              </w:rPr>
              <w:t>$5.5B</w:t>
            </w:r>
          </w:p>
        </w:tc>
        <w:tc>
          <w:tcPr>
            <w:tcW w:type="dxa" w:w="1080"/>
          </w:tcPr>
          <w:p>
            <w:r>
              <w:rPr>
                <w:rFonts w:ascii="Calibri" w:hAnsi="Calibri"/>
                <w:sz w:val="22"/>
              </w:rPr>
              <w:t>$5.4B</w:t>
            </w:r>
          </w:p>
        </w:tc>
        <w:tc>
          <w:tcPr>
            <w:tcW w:type="dxa" w:w="1080"/>
          </w:tcPr>
          <w:p>
            <w:r>
              <w:rPr>
                <w:rFonts w:ascii="Calibri" w:hAnsi="Calibri"/>
                <w:sz w:val="22"/>
              </w:rPr>
              <w:t>−1.8%</w:t>
            </w:r>
          </w:p>
        </w:tc>
        <w:tc>
          <w:tcPr>
            <w:tcW w:type="dxa" w:w="1080"/>
          </w:tcPr>
          <w:p>
            <w:r>
              <w:rPr>
                <w:rFonts w:ascii="Calibri" w:hAnsi="Calibri"/>
                <w:sz w:val="22"/>
              </w:rPr>
              <w:t>≥$21.5B FY; ~7%+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Slight drift lower; FY consensus $21.8B still above guidance floor</w:t>
            </w:r>
          </w:p>
        </w:tc>
      </w:tr>
    </w:tbl>
    <w:p>
      <w:r>
        <w:rPr>
          <w:rFonts w:ascii="Calibri" w:hAnsi="Calibri"/>
          <w:i/>
          <w:color w:val="525866"/>
          <w:sz w:val="22"/>
        </w:rPr>
        <w:t>Source: Visible Alpha Consensus and Actuals Data. Post-Q1 baseline as of May 4, 2026 (5 trading days after April 27 earnings).</w:t>
      </w:r>
    </w:p>
    <w:p>
      <w:r>
        <w:rPr>
          <w:rFonts w:ascii="Calibri" w:hAnsi="Calibri"/>
          <w:color w:val="525866"/>
          <w:sz w:val="22"/>
        </w:rPr>
        <w:t>Estimates have drifted modestly lower across all KPIs since the Q1 print, with EPS and revenue each down ~1% from the post-earnings baseline. This divergence from management’s raised guidance suggests the Street is pricing in some execution risk rather than fully crediting the turnaround. EBITDA estimates are the most stable, reflecting confidence in cost discipline even if revenue trajectory remains uncertain.</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VZ has underperformed both the Communication Services sector (XLC) and the S&amp;P 500 since the Q1 earnings print, declining ~7% vs. XLC −6% and SPY +3%, suggesting the market is skeptical of the turnaround’s durability despite the strong Q1 beat. The underperformance is sentiment/multiple-driven rather than estimate-driven, as EPS revisions have been only modestly negative.</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VZ vs. XLC vs. S&amp;P 500 — Indexed to 100 at Q1 2026 Earnings (April 27, 2026). VZ: −6.0% | XLC: −5.7% | SPY: +4.5% through July 22, 2026. Source: Yahoo Finance.</w:t>
      </w:r>
    </w:p>
    <w:p>
      <w:r>
        <w:rPr>
          <w:rFonts w:ascii="Calibri" w:hAnsi="Calibri"/>
          <w:color w:val="525866"/>
          <w:sz w:val="22"/>
        </w:rPr>
        <w:t xml:space="preserve">Since the Q1 2026 earnings print on April 27, VZ has declined approximately </w:t>
      </w:r>
      <w:r>
        <w:rPr>
          <w:rFonts w:ascii="Calibri" w:hAnsi="Calibri"/>
          <w:b/>
          <w:color w:val="525866"/>
          <w:sz w:val="22"/>
        </w:rPr>
        <w:t>6.0%</w:t>
      </w:r>
      <w:r>
        <w:rPr>
          <w:rFonts w:ascii="Calibri" w:hAnsi="Calibri"/>
          <w:color w:val="525866"/>
          <w:sz w:val="22"/>
        </w:rPr>
        <w:t xml:space="preserve"> to $44.29 (as of July 22), underperforming the S&amp;P 500 (+4.5%) and roughly in line with the Communication Services ETF (XLC, −5.7%). The stock initially rallied to ~$48 in late May on momentum from the turnaround narrative, then sold off sharply in June (dropping to ~$42 by June 30) as the market rotated away from defensive yield plays and concerns about competitive intensity from cable MVNOs resurfaced. The July 16 announcement of ~3,000 job cuts and divestiture of 274 retail stores to franchise owners provided a modest catalyst (+$1 on the day), reflecting the market’s positive read on cost discipline. The stock enters Q2 earnings at $43.82 (July 24 pre-market), down ~7% from the Q1 print — a setup that leaves room for a relief rally if subscriber and service revenue trends confirm the guided inflection.</w:t>
      </w:r>
    </w:p>
    <w:p>
      <w:pPr>
        <w:pStyle w:val="Heading2"/>
      </w:pPr>
      <w:r>
        <w:rPr>
          <w:rFonts w:ascii="Calibri" w:hAnsi="Calibri"/>
          <w:b/>
          <w:color w:val="3B4259"/>
          <w:sz w:val="28"/>
        </w:rPr>
        <w:t>6. Peer Commentary &amp; Current-Quarter Read-Through</w:t>
      </w:r>
    </w:p>
    <w:p>
      <w:r>
        <w:rPr>
          <w:rFonts w:ascii="Calibri" w:hAnsi="Calibri"/>
          <w:b/>
          <w:color w:val="525866"/>
          <w:sz w:val="22"/>
        </w:rPr>
        <w:t xml:space="preserve">Key Takeaway: </w:t>
      </w:r>
      <w:r>
        <w:rPr>
          <w:rFonts w:ascii="Calibri" w:hAnsi="Calibri"/>
          <w:color w:val="525866"/>
          <w:sz w:val="22"/>
        </w:rPr>
        <w:t xml:space="preserve">Peer Q2 2026 results paint a </w:t>
      </w:r>
      <w:r>
        <w:rPr>
          <w:rFonts w:ascii="Calibri" w:hAnsi="Calibri"/>
          <w:b/>
          <w:color w:val="525866"/>
          <w:sz w:val="22"/>
        </w:rPr>
        <w:t>mixed-to-negative</w:t>
      </w:r>
      <w:r>
        <w:rPr>
          <w:rFonts w:ascii="Calibri" w:hAnsi="Calibri"/>
          <w:color w:val="525866"/>
          <w:sz w:val="22"/>
        </w:rPr>
        <w:t xml:space="preserve"> picture for VZ — AT&amp;T’s blowout postpaid adds (+432K vs. +325K est.) confirm the industry is healthy and churn is settling, which is a positive read-through for VZ’s own subscriber momentum; but T-Mobile’s continued market share gains and Comcast’s record 448K wireless line adds underscore that the competitive environment remains intense. The industry backdrop supports VZ’s guided inflection, but execution risk is real.</w:t>
      </w:r>
    </w:p>
    <w:p>
      <w:r>
        <w:rPr>
          <w:rFonts w:ascii="Calibri" w:hAnsi="Calibri"/>
          <w:b/>
          <w:color w:val="525866"/>
          <w:sz w:val="22"/>
        </w:rPr>
        <w:t xml:space="preserve">Note: </w:t>
      </w:r>
      <w:r>
        <w:rPr>
          <w:rFonts w:ascii="Calibri" w:hAnsi="Calibri"/>
          <w:i/>
          <w:color w:val="525866"/>
          <w:sz w:val="22"/>
        </w:rPr>
        <w:t>Only commentary directly relevant to Q2 2026 (current reporting quarter) or forward-looking conditions from the last 60 days is included below. Prior-quarter earnings commentary about prior-quarter results is excluded.</w:t>
      </w:r>
    </w:p>
    <w:p>
      <w:pPr>
        <w:pStyle w:val="Heading3"/>
      </w:pPr>
      <w:r>
        <w:rPr>
          <w:rFonts w:ascii="Calibri" w:hAnsi="Calibri"/>
          <w:b/>
          <w:color w:val="3B4259"/>
          <w:sz w:val="24"/>
        </w:rPr>
        <w:t>AT&amp;T (T) — Q2 2026 Earnings (Reported July 22, 2026)</w:t>
      </w:r>
    </w:p>
    <w:p>
      <w:r>
        <w:rPr>
          <w:rFonts w:ascii="Calibri" w:hAnsi="Calibri"/>
          <w:b/>
          <w:color w:val="525866"/>
          <w:sz w:val="22"/>
        </w:rPr>
        <w:t xml:space="preserve">Read-Through: </w:t>
      </w:r>
      <w:r>
        <w:rPr>
          <w:rFonts w:ascii="Calibri" w:hAnsi="Calibri"/>
          <w:color w:val="525866"/>
          <w:sz w:val="22"/>
        </w:rPr>
        <w:t>Mixed. AT&amp;T’s Q2 2026 results are the most directly relevant peer read-through for VZ.</w:t>
      </w:r>
    </w:p>
    <w:p>
      <w:pPr>
        <w:pStyle w:val="ListBullet"/>
        <w:ind w:left="360" w:hanging="360"/>
      </w:pPr>
      <w:r>
        <w:rPr>
          <w:rFonts w:ascii="Calibri" w:hAnsi="Calibri"/>
          <w:b/>
          <w:color w:val="525866"/>
          <w:sz w:val="22"/>
        </w:rPr>
        <w:t xml:space="preserve">Postpaid Phone Net Adds: </w:t>
      </w:r>
      <w:r>
        <w:rPr>
          <w:rFonts w:ascii="Calibri" w:hAnsi="Calibri"/>
          <w:color w:val="525866"/>
          <w:sz w:val="22"/>
        </w:rPr>
        <w:t xml:space="preserve">+432K vs. Street estimate of +325K — a massive beat that confirms the wireless industry is in a healthy demand environment. AT&amp;T attributed the outperformance to its bundled mobile+broadband convergence strategy and new unlimited plan launches. This is a </w:t>
      </w:r>
      <w:r>
        <w:rPr>
          <w:rFonts w:ascii="Calibri" w:hAnsi="Calibri"/>
          <w:b/>
          <w:color w:val="30A46C"/>
          <w:sz w:val="22"/>
        </w:rPr>
        <w:t>positive read-through</w:t>
      </w:r>
      <w:r>
        <w:rPr>
          <w:rFonts w:ascii="Calibri" w:hAnsi="Calibri"/>
          <w:color w:val="525866"/>
          <w:sz w:val="22"/>
        </w:rPr>
        <w:t xml:space="preserve"> for VZ’s own net-adds trajectory, as it suggests the market is growing rather than VZ simply taking share from AT&amp;T.</w:t>
      </w:r>
    </w:p>
    <w:p>
      <w:pPr>
        <w:pStyle w:val="ListBullet"/>
        <w:ind w:left="360" w:hanging="360"/>
      </w:pPr>
      <w:r>
        <w:rPr>
          <w:rFonts w:ascii="Calibri" w:hAnsi="Calibri"/>
          <w:b/>
          <w:color w:val="525866"/>
          <w:sz w:val="22"/>
        </w:rPr>
        <w:t xml:space="preserve">Postpaid Phone Churn: </w:t>
      </w:r>
      <w:r>
        <w:rPr>
          <w:rFonts w:ascii="Calibri" w:hAnsi="Calibri"/>
          <w:color w:val="525866"/>
          <w:sz w:val="22"/>
        </w:rPr>
        <w:t xml:space="preserve">0.86% in Q2 2026, down 1 bp YoY. AT&amp;T CEO noted that churn is “settling down” industry-wide after accelerating in 2025. This is a </w:t>
      </w:r>
      <w:r>
        <w:rPr>
          <w:rFonts w:ascii="Calibri" w:hAnsi="Calibri"/>
          <w:b/>
          <w:color w:val="30A46C"/>
          <w:sz w:val="22"/>
        </w:rPr>
        <w:t>positive read-through</w:t>
      </w:r>
      <w:r>
        <w:rPr>
          <w:rFonts w:ascii="Calibri" w:hAnsi="Calibri"/>
          <w:color w:val="525866"/>
          <w:sz w:val="22"/>
        </w:rPr>
        <w:t xml:space="preserve"> for VZ, which exited Q1 with churn below 85 bps in March and is guiding for continued improvement.</w:t>
      </w:r>
    </w:p>
    <w:p>
      <w:pPr>
        <w:pStyle w:val="ListBullet"/>
        <w:ind w:left="360" w:hanging="360"/>
      </w:pPr>
      <w:r>
        <w:rPr>
          <w:rFonts w:ascii="Calibri" w:hAnsi="Calibri"/>
          <w:b/>
          <w:color w:val="525866"/>
          <w:sz w:val="22"/>
        </w:rPr>
        <w:t xml:space="preserve">Convergence: </w:t>
      </w:r>
      <w:r>
        <w:rPr>
          <w:rFonts w:ascii="Calibri" w:hAnsi="Calibri"/>
          <w:color w:val="525866"/>
          <w:sz w:val="22"/>
        </w:rPr>
        <w:t>42.5% of AT&amp;T’s advanced home internet customers also have a postpaid wireless account (45% excluding Lumen footprint). AT&amp;T expects “continued strong net additions in advanced home internet and postpaid phone subscribers during Q3.” This validates VZ’s own convergence thesis with Frontier fiber.</w:t>
      </w:r>
    </w:p>
    <w:p>
      <w:pPr>
        <w:pStyle w:val="ListBullet"/>
        <w:ind w:left="360" w:hanging="360"/>
      </w:pPr>
      <w:r>
        <w:rPr>
          <w:rFonts w:ascii="Calibri" w:hAnsi="Calibri"/>
          <w:b/>
          <w:color w:val="525866"/>
          <w:sz w:val="22"/>
        </w:rPr>
        <w:t xml:space="preserve">Fiber Net Adds: </w:t>
      </w:r>
      <w:r>
        <w:rPr>
          <w:rFonts w:ascii="Calibri" w:hAnsi="Calibri"/>
          <w:color w:val="525866"/>
          <w:sz w:val="22"/>
        </w:rPr>
        <w:t xml:space="preserve">+367K vs. Street estimate of +303K — a record Q2 for AT&amp;T fiber. Confirms strong consumer demand for fiber broadband, a </w:t>
      </w:r>
      <w:r>
        <w:rPr>
          <w:rFonts w:ascii="Calibri" w:hAnsi="Calibri"/>
          <w:b/>
          <w:color w:val="30A46C"/>
          <w:sz w:val="22"/>
        </w:rPr>
        <w:t>positive read-through</w:t>
      </w:r>
      <w:r>
        <w:rPr>
          <w:rFonts w:ascii="Calibri" w:hAnsi="Calibri"/>
          <w:color w:val="525866"/>
          <w:sz w:val="22"/>
        </w:rPr>
        <w:t xml:space="preserve"> for VZ’s Frontier fiber integration.</w:t>
      </w:r>
    </w:p>
    <w:p>
      <w:pPr>
        <w:pStyle w:val="ListBullet"/>
        <w:ind w:left="360" w:hanging="360"/>
      </w:pPr>
      <w:r>
        <w:rPr>
          <w:rFonts w:ascii="Calibri" w:hAnsi="Calibri"/>
          <w:b/>
          <w:color w:val="525866"/>
          <w:sz w:val="22"/>
        </w:rPr>
        <w:t xml:space="preserve">EBITDA &amp; FCF: </w:t>
      </w:r>
      <w:r>
        <w:rPr>
          <w:rFonts w:ascii="Calibri" w:hAnsi="Calibri"/>
          <w:color w:val="525866"/>
          <w:sz w:val="22"/>
        </w:rPr>
        <w:t>Adjusted EBITDA $12.3B vs. Street $12.1B; FCF $4.7B vs. Street $4.4B. AT&amp;T raised share buybacks to $10B for 2026. Strong profitability confirms the industry can grow subscribers and margins simultaneously — a constructive backdrop for VZ’s own EBITDA expansion story.</w:t>
      </w:r>
    </w:p>
    <w:p>
      <w:pPr>
        <w:pStyle w:val="ListBullet"/>
        <w:ind w:left="360" w:hanging="360"/>
      </w:pPr>
      <w:r>
        <w:rPr>
          <w:rFonts w:ascii="Calibri" w:hAnsi="Calibri"/>
          <w:b/>
          <w:color w:val="525866"/>
          <w:sz w:val="22"/>
        </w:rPr>
        <w:t xml:space="preserve">Pricing: </w:t>
      </w:r>
      <w:r>
        <w:rPr>
          <w:rFonts w:ascii="Calibri" w:hAnsi="Calibri"/>
          <w:color w:val="525866"/>
          <w:sz w:val="22"/>
        </w:rPr>
        <w:t xml:space="preserve">AT&amp;T implemented price increases of ~$10–$20/line on legacy plans in Q2 and grew postpaid phone ARPU YoY while reducing churn. This is a </w:t>
      </w:r>
      <w:r>
        <w:rPr>
          <w:rFonts w:ascii="Calibri" w:hAnsi="Calibri"/>
          <w:b/>
          <w:color w:val="30A46C"/>
          <w:sz w:val="22"/>
        </w:rPr>
        <w:t>positive read-through</w:t>
      </w:r>
      <w:r>
        <w:rPr>
          <w:rFonts w:ascii="Calibri" w:hAnsi="Calibri"/>
          <w:color w:val="525866"/>
          <w:sz w:val="22"/>
        </w:rPr>
        <w:t xml:space="preserve"> for VZ’s own ARPA recovery narrative as promotional amortization headwinds reverse.</w:t>
      </w:r>
    </w:p>
    <w:p>
      <w:pPr>
        <w:pStyle w:val="Heading3"/>
      </w:pPr>
      <w:r>
        <w:rPr>
          <w:rFonts w:ascii="Calibri" w:hAnsi="Calibri"/>
          <w:b/>
          <w:color w:val="3B4259"/>
          <w:sz w:val="24"/>
        </w:rPr>
        <w:t>T-Mobile (TMUS) — Q2 2026 Earnings (Reported July 23, 2026)</w:t>
      </w:r>
    </w:p>
    <w:p>
      <w:r>
        <w:rPr>
          <w:rFonts w:ascii="Calibri" w:hAnsi="Calibri"/>
          <w:b/>
          <w:color w:val="525866"/>
          <w:sz w:val="22"/>
        </w:rPr>
        <w:t xml:space="preserve">Read-Through: </w:t>
      </w:r>
      <w:r>
        <w:rPr>
          <w:rFonts w:ascii="Calibri" w:hAnsi="Calibri"/>
          <w:color w:val="525866"/>
          <w:sz w:val="22"/>
        </w:rPr>
        <w:t>Negative. T-Mobile’s continued market share gains and strong financial performance set a high bar and confirm VZ faces a formidable competitor.</w:t>
      </w:r>
    </w:p>
    <w:p>
      <w:pPr>
        <w:pStyle w:val="ListBullet"/>
        <w:ind w:left="360" w:hanging="360"/>
      </w:pPr>
      <w:r>
        <w:rPr>
          <w:rFonts w:ascii="Calibri" w:hAnsi="Calibri"/>
          <w:b/>
          <w:color w:val="525866"/>
          <w:sz w:val="22"/>
        </w:rPr>
        <w:t xml:space="preserve">Postpaid Net Account Adds: </w:t>
      </w:r>
      <w:r>
        <w:rPr>
          <w:rFonts w:ascii="Calibri" w:hAnsi="Calibri"/>
          <w:color w:val="525866"/>
          <w:sz w:val="22"/>
        </w:rPr>
        <w:t xml:space="preserve">+277K, down 13% YoY but slightly above consensus of +264K. T-Mobile noted a “temporary elevated account churn profile” expected in Q3 from a rate plan modernization initiative. Stock fell 5.7% on the day, suggesting the market was disappointed by the YoY deceleration — a </w:t>
      </w:r>
      <w:r>
        <w:rPr>
          <w:rFonts w:ascii="Calibri" w:hAnsi="Calibri"/>
          <w:b/>
          <w:color w:val="525866"/>
          <w:sz w:val="22"/>
        </w:rPr>
        <w:t>neutral read-through</w:t>
      </w:r>
      <w:r>
        <w:rPr>
          <w:rFonts w:ascii="Calibri" w:hAnsi="Calibri"/>
          <w:color w:val="525866"/>
          <w:sz w:val="22"/>
        </w:rPr>
        <w:t xml:space="preserve"> for VZ (T-Mobile’s deceleration could mean less competitive pressure, but T-Mobile remains the market share leader).</w:t>
      </w:r>
    </w:p>
    <w:p>
      <w:pPr>
        <w:pStyle w:val="ListBullet"/>
        <w:ind w:left="360" w:hanging="360"/>
      </w:pPr>
      <w:r>
        <w:rPr>
          <w:rFonts w:ascii="Calibri" w:hAnsi="Calibri"/>
          <w:b/>
          <w:color w:val="525866"/>
          <w:sz w:val="22"/>
        </w:rPr>
        <w:t xml:space="preserve">Postpaid Phone Churn: </w:t>
      </w:r>
      <w:r>
        <w:rPr>
          <w:rFonts w:ascii="Calibri" w:hAnsi="Calibri"/>
          <w:color w:val="525866"/>
          <w:sz w:val="22"/>
        </w:rPr>
        <w:t xml:space="preserve">0.85%, down significantly YoY. T-Mobile called it a “tremenously successful churn quarter.” This confirms industry churn is improving, a </w:t>
      </w:r>
      <w:r>
        <w:rPr>
          <w:rFonts w:ascii="Calibri" w:hAnsi="Calibri"/>
          <w:b/>
          <w:color w:val="30A46C"/>
          <w:sz w:val="22"/>
        </w:rPr>
        <w:t>positive read-through</w:t>
      </w:r>
      <w:r>
        <w:rPr>
          <w:rFonts w:ascii="Calibri" w:hAnsi="Calibri"/>
          <w:color w:val="525866"/>
          <w:sz w:val="22"/>
        </w:rPr>
        <w:t xml:space="preserve"> for VZ’s own churn trajectory.</w:t>
      </w:r>
    </w:p>
    <w:p>
      <w:pPr>
        <w:pStyle w:val="ListBullet"/>
        <w:ind w:left="360" w:hanging="360"/>
      </w:pPr>
      <w:r>
        <w:rPr>
          <w:rFonts w:ascii="Calibri" w:hAnsi="Calibri"/>
          <w:b/>
          <w:color w:val="525866"/>
          <w:sz w:val="22"/>
        </w:rPr>
        <w:t xml:space="preserve">ARPA Growth: </w:t>
      </w:r>
      <w:r>
        <w:rPr>
          <w:rFonts w:ascii="Calibri" w:hAnsi="Calibri"/>
          <w:color w:val="525866"/>
          <w:sz w:val="22"/>
        </w:rPr>
        <w:t xml:space="preserve">Postpaid ARPA (ex-M&amp;A) grew 3.7% YoY; T-Mobile expects full-year ARPA growth “more towards 3%.” T-Mobile’s “more for more” pricing philosophy and stated intention not to increase subsidy levels is a </w:t>
      </w:r>
      <w:r>
        <w:rPr>
          <w:rFonts w:ascii="Calibri" w:hAnsi="Calibri"/>
          <w:b/>
          <w:color w:val="30A46C"/>
          <w:sz w:val="22"/>
        </w:rPr>
        <w:t>positive read-through</w:t>
      </w:r>
      <w:r>
        <w:rPr>
          <w:rFonts w:ascii="Calibri" w:hAnsi="Calibri"/>
          <w:color w:val="525866"/>
          <w:sz w:val="22"/>
        </w:rPr>
        <w:t xml:space="preserve"> for industry pricing discipline, supporting VZ’s own ARPA recovery.</w:t>
      </w:r>
    </w:p>
    <w:p>
      <w:pPr>
        <w:pStyle w:val="ListBullet"/>
        <w:ind w:left="360" w:hanging="360"/>
      </w:pPr>
      <w:r>
        <w:rPr>
          <w:rFonts w:ascii="Calibri" w:hAnsi="Calibri"/>
          <w:b/>
          <w:color w:val="525866"/>
          <w:sz w:val="22"/>
        </w:rPr>
        <w:t xml:space="preserve">Fixed Wireless (FWA): </w:t>
      </w:r>
      <w:r>
        <w:rPr>
          <w:rFonts w:ascii="Calibri" w:hAnsi="Calibri"/>
          <w:color w:val="525866"/>
          <w:sz w:val="22"/>
        </w:rPr>
        <w:t xml:space="preserve">T-Mobile added ~400K+ FWA subscribers in Q2, maintaining its position as the fastest-growing ISP. T-Mobile’s FWA is delivering “fiber-like speeds” and two-thirds of customers are in top-100 markets. This is a </w:t>
      </w:r>
      <w:r>
        <w:rPr>
          <w:rFonts w:ascii="Calibri" w:hAnsi="Calibri"/>
          <w:b/>
          <w:color w:val="E5484D"/>
          <w:sz w:val="22"/>
        </w:rPr>
        <w:t>negative read-through</w:t>
      </w:r>
      <w:r>
        <w:rPr>
          <w:rFonts w:ascii="Calibri" w:hAnsi="Calibri"/>
          <w:color w:val="525866"/>
          <w:sz w:val="22"/>
        </w:rPr>
        <w:t xml:space="preserve"> for VZ’s FWA ambitions, as T-Mobile continues to dominate this segment.</w:t>
      </w:r>
    </w:p>
    <w:p>
      <w:pPr>
        <w:pStyle w:val="ListBullet"/>
        <w:ind w:left="360" w:hanging="360"/>
      </w:pPr>
      <w:r>
        <w:rPr>
          <w:rFonts w:ascii="Calibri" w:hAnsi="Calibri"/>
          <w:b/>
          <w:color w:val="525866"/>
          <w:sz w:val="22"/>
        </w:rPr>
        <w:t xml:space="preserve">Convergence: </w:t>
      </w:r>
      <w:r>
        <w:rPr>
          <w:rFonts w:ascii="Calibri" w:hAnsi="Calibri"/>
          <w:color w:val="525866"/>
          <w:sz w:val="22"/>
        </w:rPr>
        <w:t>~70% of T-Mobile’s broadband customers also have mobile service in a bundle, vs. AT&amp;T’s 45%. T-Mobile’s fiber JVs are achieving ~20% penetration in the first 12 months. This highlights the competitive intensity VZ faces in bundled offerings.</w:t>
      </w:r>
    </w:p>
    <w:p>
      <w:pPr>
        <w:pStyle w:val="ListBullet"/>
        <w:ind w:left="360" w:hanging="360"/>
      </w:pPr>
      <w:r>
        <w:rPr>
          <w:rFonts w:ascii="Calibri" w:hAnsi="Calibri"/>
          <w:b/>
          <w:color w:val="525866"/>
          <w:sz w:val="22"/>
        </w:rPr>
        <w:t xml:space="preserve">Financial Performance: </w:t>
      </w:r>
      <w:r>
        <w:rPr>
          <w:rFonts w:ascii="Calibri" w:hAnsi="Calibri"/>
          <w:color w:val="525866"/>
          <w:sz w:val="22"/>
        </w:rPr>
        <w:t xml:space="preserve">Core Adjusted EBITDA +12% YoY to $9.5B (beat $9.4B est.); Adjusted FCF +4% to $4.8B (beat $4.6B est.); service revenue +9% YoY. T-Mobile raised FCF guidance by $200M. Strong results confirm T-Mobile’s financial superiority, a </w:t>
      </w:r>
      <w:r>
        <w:rPr>
          <w:rFonts w:ascii="Calibri" w:hAnsi="Calibri"/>
          <w:b/>
          <w:color w:val="E5484D"/>
          <w:sz w:val="22"/>
        </w:rPr>
        <w:t>negative read-through</w:t>
      </w:r>
      <w:r>
        <w:rPr>
          <w:rFonts w:ascii="Calibri" w:hAnsi="Calibri"/>
          <w:color w:val="525866"/>
          <w:sz w:val="22"/>
        </w:rPr>
        <w:t xml:space="preserve"> for VZ’s relative positioning.</w:t>
      </w:r>
    </w:p>
    <w:p>
      <w:pPr>
        <w:pStyle w:val="Heading3"/>
      </w:pPr>
      <w:r>
        <w:rPr>
          <w:rFonts w:ascii="Calibri" w:hAnsi="Calibri"/>
          <w:b/>
          <w:color w:val="3B4259"/>
          <w:sz w:val="24"/>
        </w:rPr>
        <w:t>Comcast (CMCSA) — Q2 2026 Earnings (Reported July 23, 2026)</w:t>
      </w:r>
    </w:p>
    <w:p>
      <w:r>
        <w:rPr>
          <w:rFonts w:ascii="Calibri" w:hAnsi="Calibri"/>
          <w:b/>
          <w:color w:val="525866"/>
          <w:sz w:val="22"/>
        </w:rPr>
        <w:t xml:space="preserve">Read-Through: </w:t>
      </w:r>
      <w:r>
        <w:rPr>
          <w:rFonts w:ascii="Calibri" w:hAnsi="Calibri"/>
          <w:color w:val="525866"/>
          <w:sz w:val="22"/>
        </w:rPr>
        <w:t>Mixed-to-negative. Comcast’s record wireless quarter underscores cable MVNO competitive intensity, but continued broadband subscriber losses confirm VZ’s FWA is gaining traction.</w:t>
      </w:r>
    </w:p>
    <w:p>
      <w:pPr>
        <w:pStyle w:val="ListBullet"/>
        <w:ind w:left="360" w:hanging="360"/>
      </w:pPr>
      <w:r>
        <w:rPr>
          <w:rFonts w:ascii="Calibri" w:hAnsi="Calibri"/>
          <w:b/>
          <w:color w:val="525866"/>
          <w:sz w:val="22"/>
        </w:rPr>
        <w:t xml:space="preserve">Wireless Line Net Adds: </w:t>
      </w:r>
      <w:r>
        <w:rPr>
          <w:rFonts w:ascii="Calibri" w:hAnsi="Calibri"/>
          <w:color w:val="525866"/>
          <w:sz w:val="22"/>
        </w:rPr>
        <w:t xml:space="preserve">448K — Comcast’s best quarter ever, crossing 10 million total wireless lines. Approximately half of residential postpaid phone connects came from customers taking a free line. This is a </w:t>
      </w:r>
      <w:r>
        <w:rPr>
          <w:rFonts w:ascii="Calibri" w:hAnsi="Calibri"/>
          <w:b/>
          <w:color w:val="E5484D"/>
          <w:sz w:val="22"/>
        </w:rPr>
        <w:t>negative read-through</w:t>
      </w:r>
      <w:r>
        <w:rPr>
          <w:rFonts w:ascii="Calibri" w:hAnsi="Calibri"/>
          <w:color w:val="525866"/>
          <w:sz w:val="22"/>
        </w:rPr>
        <w:t xml:space="preserve"> for VZ, as cable MVNOs are aggressively bundling wireless at low/no cost, putting pressure on VZ’s postpaid gross adds.</w:t>
      </w:r>
    </w:p>
    <w:p>
      <w:pPr>
        <w:pStyle w:val="ListBullet"/>
        <w:ind w:left="360" w:hanging="360"/>
      </w:pPr>
      <w:r>
        <w:rPr>
          <w:rFonts w:ascii="Calibri" w:hAnsi="Calibri"/>
          <w:b/>
          <w:color w:val="525866"/>
          <w:sz w:val="22"/>
        </w:rPr>
        <w:t xml:space="preserve">Promotional Intensity: </w:t>
      </w:r>
      <w:r>
        <w:rPr>
          <w:rFonts w:ascii="Calibri" w:hAnsi="Calibri"/>
          <w:color w:val="525866"/>
          <w:sz w:val="22"/>
        </w:rPr>
        <w:t xml:space="preserve">Comcast noted “promotional intensity increase in some markets, and some of the behavior has been irrational.” The company did not take a broadband rate increase and is migrating customers to “lower everyday price points.” This confirms a challenging pricing environment for all wireless providers, a </w:t>
      </w:r>
      <w:r>
        <w:rPr>
          <w:rFonts w:ascii="Calibri" w:hAnsi="Calibri"/>
          <w:b/>
          <w:color w:val="E5484D"/>
          <w:sz w:val="22"/>
        </w:rPr>
        <w:t>negative read-through</w:t>
      </w:r>
      <w:r>
        <w:rPr>
          <w:rFonts w:ascii="Calibri" w:hAnsi="Calibri"/>
          <w:color w:val="525866"/>
          <w:sz w:val="22"/>
        </w:rPr>
        <w:t xml:space="preserve"> for VZ’s ARPA recovery timeline.</w:t>
      </w:r>
    </w:p>
    <w:p>
      <w:pPr>
        <w:pStyle w:val="ListBullet"/>
        <w:ind w:left="360" w:hanging="360"/>
      </w:pPr>
      <w:r>
        <w:rPr>
          <w:rFonts w:ascii="Calibri" w:hAnsi="Calibri"/>
          <w:b/>
          <w:color w:val="525866"/>
          <w:sz w:val="22"/>
        </w:rPr>
        <w:t xml:space="preserve">Broadband Subscriber Losses: </w:t>
      </w:r>
      <w:r>
        <w:rPr>
          <w:rFonts w:ascii="Calibri" w:hAnsi="Calibri"/>
          <w:color w:val="525866"/>
          <w:sz w:val="22"/>
        </w:rPr>
        <w:t xml:space="preserve">−167K residential broadband customers in Q2 2026, improving 34K YoY. Broadband ARPU declined 3.8%. Continued cable broadband losses confirm that VZ’s FWA and Frontier fiber are taking share — a </w:t>
      </w:r>
      <w:r>
        <w:rPr>
          <w:rFonts w:ascii="Calibri" w:hAnsi="Calibri"/>
          <w:b/>
          <w:color w:val="30A46C"/>
          <w:sz w:val="22"/>
        </w:rPr>
        <w:t>positive read-through</w:t>
      </w:r>
      <w:r>
        <w:rPr>
          <w:rFonts w:ascii="Calibri" w:hAnsi="Calibri"/>
          <w:color w:val="525866"/>
          <w:sz w:val="22"/>
        </w:rPr>
        <w:t xml:space="preserve"> for VZ’s broadband growth story.</w:t>
      </w:r>
    </w:p>
    <w:p>
      <w:pPr>
        <w:pStyle w:val="ListBullet"/>
        <w:ind w:left="360" w:hanging="360"/>
      </w:pPr>
      <w:r>
        <w:rPr>
          <w:rFonts w:ascii="Calibri" w:hAnsi="Calibri"/>
          <w:b/>
          <w:color w:val="525866"/>
          <w:sz w:val="22"/>
        </w:rPr>
        <w:t xml:space="preserve">Competitive Landscape Commentary: </w:t>
      </w:r>
      <w:r>
        <w:rPr>
          <w:rFonts w:ascii="Calibri" w:hAnsi="Calibri"/>
          <w:color w:val="525866"/>
          <w:sz w:val="22"/>
        </w:rPr>
        <w:t>Comcast stated the broadband market is “highly competitive” with “fiber continues to expand, fixed wireless remains aggressive, satellite is emerging as another alternative.” Comcast is not currently seeing Starlink as a “meaningful competitive factor” but expects it to become “more of a competitor over time,” particularly in rural areas. This is broadly consistent with VZ’s own satellite-as-complement framing.</w:t>
      </w:r>
    </w:p>
    <w:p>
      <w:pPr>
        <w:pStyle w:val="ListBullet"/>
        <w:ind w:left="360" w:hanging="360"/>
      </w:pPr>
      <w:r>
        <w:rPr>
          <w:rFonts w:ascii="Calibri" w:hAnsi="Calibri"/>
          <w:b/>
          <w:color w:val="525866"/>
          <w:sz w:val="22"/>
        </w:rPr>
        <w:t xml:space="preserve">Convergence: </w:t>
      </w:r>
      <w:r>
        <w:rPr>
          <w:rFonts w:ascii="Calibri" w:hAnsi="Calibri"/>
          <w:color w:val="525866"/>
          <w:sz w:val="22"/>
        </w:rPr>
        <w:t xml:space="preserve">Comcast’s convergence rate remains “well below levels reported by telecom competitors,” highlighting the runway for cable to close the gap. Comcast launched a T-Mobile MVNO partnership for business customers in Q2. This signals intensifying competition in the enterprise segment, a </w:t>
      </w:r>
      <w:r>
        <w:rPr>
          <w:rFonts w:ascii="Calibri" w:hAnsi="Calibri"/>
          <w:b/>
          <w:color w:val="E5484D"/>
          <w:sz w:val="22"/>
        </w:rPr>
        <w:t>negative read-through</w:t>
      </w:r>
      <w:r>
        <w:rPr>
          <w:rFonts w:ascii="Calibri" w:hAnsi="Calibri"/>
          <w:color w:val="525866"/>
          <w:sz w:val="22"/>
        </w:rPr>
        <w:t xml:space="preserve"> for VZ’s business segment.</w:t>
      </w:r>
    </w:p>
    <w:p>
      <w:pPr>
        <w:pStyle w:val="ListBullet"/>
        <w:ind w:left="360" w:hanging="360"/>
      </w:pPr>
      <w:r>
        <w:rPr>
          <w:rFonts w:ascii="Calibri" w:hAnsi="Calibri"/>
          <w:b/>
          <w:color w:val="525866"/>
          <w:sz w:val="22"/>
        </w:rPr>
        <w:t xml:space="preserve">Financial Performance: </w:t>
      </w:r>
      <w:r>
        <w:rPr>
          <w:rFonts w:ascii="Calibri" w:hAnsi="Calibri"/>
          <w:color w:val="525866"/>
          <w:sz w:val="22"/>
        </w:rPr>
        <w:t>Pro forma revenue +4.7%; FCF $4.6B (+2.3% YoY); Adjusted EPS $1.04 (beat $0.97 est.). Comcast expects “modest improvements starting in Q3” for broadband ARPU and Connectivity &amp; Platforms EBITDA as go-to-market investments lap and free wireless lines convert to paid. Broadly neutral for VZ.</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material post-Q1 development is the July 16 announcement of ~3,000 job cuts and divestiture of 274 retail stores to franchise owners — a tangible signal of cost transformation execution that supports the $5B OpEx savings target. Debt management actions in May–June also reduce near-term refinancing risk.</w:t>
      </w:r>
    </w:p>
    <w:p>
      <w:pPr>
        <w:pStyle w:val="ListBullet"/>
        <w:ind w:left="360" w:hanging="360"/>
      </w:pPr>
      <w:r>
        <w:rPr>
          <w:rFonts w:ascii="Calibri" w:hAnsi="Calibri"/>
          <w:b/>
          <w:color w:val="525866"/>
          <w:sz w:val="22"/>
        </w:rPr>
        <w:t xml:space="preserve">July 16, 2026 — Retail Store Divestiture &amp; ~3,000 Job Cuts: </w:t>
      </w:r>
      <w:r>
        <w:rPr>
          <w:rFonts w:ascii="Calibri" w:hAnsi="Calibri"/>
          <w:color w:val="525866"/>
          <w:sz w:val="22"/>
        </w:rPr>
        <w:t xml:space="preserve">VZ announced it will divest 274 of its retail stores to franchise owners and cut approximately 3,000 workers (including ~500 corporate employees). The company will retain ~1,000 corporate-owned stores as a strategic minimum. </w:t>
      </w:r>
      <w:r>
        <w:rPr>
          <w:rFonts w:ascii="Calibri" w:hAnsi="Calibri"/>
          <w:i/>
          <w:color w:val="525866"/>
          <w:sz w:val="22"/>
        </w:rPr>
        <w:t xml:space="preserve">Implication: </w:t>
      </w:r>
      <w:r>
        <w:rPr>
          <w:rFonts w:ascii="Calibri" w:hAnsi="Calibri"/>
          <w:color w:val="525866"/>
          <w:sz w:val="22"/>
        </w:rPr>
        <w:t>Tangible evidence of cost transformation execution; reduces fixed cost base and supports the $5B OpEx savings target. Market reaction was modestly positive.</w:t>
      </w:r>
    </w:p>
    <w:p>
      <w:pPr>
        <w:pStyle w:val="ListBullet"/>
        <w:ind w:left="360" w:hanging="360"/>
      </w:pPr>
      <w:r>
        <w:rPr>
          <w:rFonts w:ascii="Calibri" w:hAnsi="Calibri"/>
          <w:b/>
          <w:color w:val="525866"/>
          <w:sz w:val="22"/>
        </w:rPr>
        <w:t xml:space="preserve">June 17, 2026 — Debt Exchange Offer Completion: </w:t>
      </w:r>
      <w:r>
        <w:rPr>
          <w:rFonts w:ascii="Calibri" w:hAnsi="Calibri"/>
          <w:color w:val="525866"/>
          <w:sz w:val="22"/>
        </w:rPr>
        <w:t xml:space="preserve">VZ completed its private exchange offers and consent solicitations for 11 series of notes (settlement June 22, 2026), successfully exchanging legacy subsidiary debt for new Verizon-level notes and eliminating restrictive covenants. Separately, cash tender offers for 20 series of notes were also completed. </w:t>
      </w:r>
      <w:r>
        <w:rPr>
          <w:rFonts w:ascii="Calibri" w:hAnsi="Calibri"/>
          <w:i/>
          <w:color w:val="525866"/>
          <w:sz w:val="22"/>
        </w:rPr>
        <w:t xml:space="preserve">Implication: </w:t>
      </w:r>
      <w:r>
        <w:rPr>
          <w:rFonts w:ascii="Calibri" w:hAnsi="Calibri"/>
          <w:color w:val="525866"/>
          <w:sz w:val="22"/>
        </w:rPr>
        <w:t>Simplifies capital structure post-Frontier acquisition; reduces refinancing risk and improves financial flexibility. Neutral to modestly positive for credit profile.</w:t>
      </w:r>
    </w:p>
    <w:p>
      <w:pPr>
        <w:pStyle w:val="ListBullet"/>
        <w:ind w:left="360" w:hanging="360"/>
      </w:pPr>
      <w:r>
        <w:rPr>
          <w:rFonts w:ascii="Calibri" w:hAnsi="Calibri"/>
          <w:b/>
          <w:color w:val="525866"/>
          <w:sz w:val="22"/>
        </w:rPr>
        <w:t xml:space="preserve">May 14, 2026 — $4 Billion Junior Subordinated Notes Offering: </w:t>
      </w:r>
      <w:r>
        <w:rPr>
          <w:rFonts w:ascii="Calibri" w:hAnsi="Calibri"/>
          <w:color w:val="525866"/>
          <w:sz w:val="22"/>
        </w:rPr>
        <w:t xml:space="preserve">VZ raised $4B through junior subordinated notes. </w:t>
      </w:r>
      <w:r>
        <w:rPr>
          <w:rFonts w:ascii="Calibri" w:hAnsi="Calibri"/>
          <w:i/>
          <w:color w:val="525866"/>
          <w:sz w:val="22"/>
        </w:rPr>
        <w:t xml:space="preserve">Implication: </w:t>
      </w:r>
      <w:r>
        <w:rPr>
          <w:rFonts w:ascii="Calibri" w:hAnsi="Calibri"/>
          <w:color w:val="525866"/>
          <w:sz w:val="22"/>
        </w:rPr>
        <w:t>Supports Frontier debt repayment (management guided to repay substantially all Frontier debt by year-end); consistent with deleveraging toward 2.0–2.25x net unsecured leverage target by 2027.</w:t>
      </w:r>
    </w:p>
    <w:p>
      <w:pPr>
        <w:pStyle w:val="ListBullet"/>
        <w:ind w:left="360" w:hanging="360"/>
      </w:pPr>
      <w:r>
        <w:rPr>
          <w:rFonts w:ascii="Calibri" w:hAnsi="Calibri"/>
          <w:b/>
          <w:color w:val="525866"/>
          <w:sz w:val="22"/>
        </w:rPr>
        <w:t xml:space="preserve">May 11, 2026 — Debt Exchange Offer Launch: </w:t>
      </w:r>
      <w:r>
        <w:rPr>
          <w:rFonts w:ascii="Calibri" w:hAnsi="Calibri"/>
          <w:color w:val="525866"/>
          <w:sz w:val="22"/>
        </w:rPr>
        <w:t xml:space="preserve">VZ launched private exchange offers for 11 series of notes and cash tender offers for 20 series of notes. </w:t>
      </w:r>
      <w:r>
        <w:rPr>
          <w:rFonts w:ascii="Calibri" w:hAnsi="Calibri"/>
          <w:i/>
          <w:color w:val="525866"/>
          <w:sz w:val="22"/>
        </w:rPr>
        <w:t xml:space="preserve">Implication: </w:t>
      </w:r>
      <w:r>
        <w:rPr>
          <w:rFonts w:ascii="Calibri" w:hAnsi="Calibri"/>
          <w:color w:val="525866"/>
          <w:sz w:val="22"/>
        </w:rPr>
        <w:t>Part of post-Frontier capital structure optimization; eliminates restrictive covenants from legacy subsidiary indentures.</w:t>
      </w:r>
    </w:p>
    <w:p>
      <w:pPr>
        <w:pStyle w:val="ListBullet"/>
        <w:ind w:left="360" w:hanging="360"/>
      </w:pPr>
      <w:r>
        <w:rPr>
          <w:rFonts w:ascii="Calibri" w:hAnsi="Calibri"/>
          <w:b/>
          <w:color w:val="525866"/>
          <w:sz w:val="22"/>
        </w:rPr>
        <w:t xml:space="preserve">July 22–23, 2026 — Peer Earnings (AT&amp;T, T-Mobile, Comcast): </w:t>
      </w:r>
      <w:r>
        <w:rPr>
          <w:rFonts w:ascii="Calibri" w:hAnsi="Calibri"/>
          <w:color w:val="525866"/>
          <w:sz w:val="22"/>
        </w:rPr>
        <w:t xml:space="preserve">AT&amp;T reported blowout postpaid adds (+432K vs. +325K est.) and raised buybacks; T-Mobile beat on EBITDA/FCF but saw YoY deceleration in account adds; Comcast posted record wireless line adds (448K). </w:t>
      </w:r>
      <w:r>
        <w:rPr>
          <w:rFonts w:ascii="Calibri" w:hAnsi="Calibri"/>
          <w:i/>
          <w:color w:val="525866"/>
          <w:sz w:val="22"/>
        </w:rPr>
        <w:t xml:space="preserve">Implication: </w:t>
      </w:r>
      <w:r>
        <w:rPr>
          <w:rFonts w:ascii="Calibri" w:hAnsi="Calibri"/>
          <w:color w:val="525866"/>
          <w:sz w:val="22"/>
        </w:rPr>
        <w:t>Industry backdrop is healthy for subscriber growth (positive for VZ net adds), but cable MVNO competition remains intense (risk to VZ gross adds and ARPA). See Peer Commentary section for full analysis.</w:t>
      </w:r>
    </w:p>
    <w:p>
      <w:pPr>
        <w:pStyle w:val="ListBullet"/>
        <w:ind w:left="360" w:hanging="360"/>
      </w:pPr>
      <w:r>
        <w:rPr>
          <w:rFonts w:ascii="Calibri" w:hAnsi="Calibri"/>
          <w:b/>
          <w:color w:val="525866"/>
          <w:sz w:val="22"/>
        </w:rPr>
        <w:t xml:space="preserve">July 10, 2026 — VZ Highlighted as Dividend Buy Signal: </w:t>
      </w:r>
      <w:r>
        <w:rPr>
          <w:rFonts w:ascii="Calibri" w:hAnsi="Calibri"/>
          <w:color w:val="525866"/>
          <w:sz w:val="22"/>
        </w:rPr>
        <w:t xml:space="preserve">VZ was featured in a dividend stock screen (yield ≥5%) as UBS strategists flagged falling bond yields as a tailwind for high-yield equities. </w:t>
      </w:r>
      <w:r>
        <w:rPr>
          <w:rFonts w:ascii="Calibri" w:hAnsi="Calibri"/>
          <w:i/>
          <w:color w:val="525866"/>
          <w:sz w:val="22"/>
        </w:rPr>
        <w:t xml:space="preserve">Implication: </w:t>
      </w:r>
      <w:r>
        <w:rPr>
          <w:rFonts w:ascii="Calibri" w:hAnsi="Calibri"/>
          <w:color w:val="525866"/>
          <w:sz w:val="22"/>
        </w:rPr>
        <w:t>Incremental technical support for the stock from yield-seeking investors; not a fundamental catalyst.</w:t>
      </w:r>
    </w:p>
    <w:p>
      <w:pPr>
        <w:pStyle w:val="ListBullet"/>
        <w:ind w:left="360" w:hanging="360"/>
      </w:pPr>
      <w:r>
        <w:rPr>
          <w:rFonts w:ascii="Calibri" w:hAnsi="Calibri"/>
          <w:b/>
          <w:color w:val="525866"/>
          <w:sz w:val="22"/>
        </w:rPr>
        <w:t xml:space="preserve">April 27, 2026 — Q1 2026 Earnings &amp; Guidance Raise: </w:t>
      </w:r>
      <w:r>
        <w:rPr>
          <w:rFonts w:ascii="Calibri" w:hAnsi="Calibri"/>
          <w:color w:val="525866"/>
          <w:sz w:val="22"/>
        </w:rPr>
        <w:t xml:space="preserve">VZ reported Q1 EPS of $1.28 (beat), record EBITDA of $13.4B, first positive Q1 postpaid net adds in 13 years (+52K), and raised FY EPS growth guidance to 5%–6% (from 4%–5%) and postpaid net adds to upper half of 750K–1M range. Management called Q1 the “low point” for service revenue and guided for Q2 inflection. </w:t>
      </w:r>
      <w:r>
        <w:rPr>
          <w:rFonts w:ascii="Calibri" w:hAnsi="Calibri"/>
          <w:i/>
          <w:color w:val="525866"/>
          <w:sz w:val="22"/>
        </w:rPr>
        <w:t xml:space="preserve">Implication: </w:t>
      </w:r>
      <w:r>
        <w:rPr>
          <w:rFonts w:ascii="Calibri" w:hAnsi="Calibri"/>
          <w:color w:val="525866"/>
          <w:sz w:val="22"/>
        </w:rPr>
        <w:t>Sets the baseline for Q2 expectations; the guided inflection is the key test for the print.</w:t>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Only one open-market insider transaction was disclosed in the period since Q1 earnings — a discretionary sale by the EVP &amp; Chief HR Officer in late May. The transaction is modest in size and not a meaningful signal; the absence of open-market buying by senior executives is notable but not alarming given the stock’s post-Q1 pullback.</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Disclosure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Hammock, Samantha</w:t>
            </w:r>
          </w:p>
        </w:tc>
        <w:tc>
          <w:tcPr>
            <w:tcW w:type="dxa" w:w="1234"/>
          </w:tcPr>
          <w:p>
            <w:r>
              <w:rPr>
                <w:rFonts w:ascii="Calibri" w:hAnsi="Calibri"/>
                <w:sz w:val="22"/>
              </w:rPr>
              <w:t>EVP &amp; Chief HR Officer</w:t>
            </w:r>
          </w:p>
        </w:tc>
        <w:tc>
          <w:tcPr>
            <w:tcW w:type="dxa" w:w="1234"/>
          </w:tcPr>
          <w:p>
            <w:r>
              <w:rPr>
                <w:rFonts w:ascii="Calibri" w:hAnsi="Calibri"/>
                <w:sz w:val="22"/>
              </w:rPr>
              <w:t>Open Market Sale</w:t>
            </w:r>
          </w:p>
        </w:tc>
        <w:tc>
          <w:tcPr>
            <w:tcW w:type="dxa" w:w="1234"/>
          </w:tcPr>
          <w:p>
            <w:r>
              <w:rPr>
                <w:rFonts w:ascii="Calibri" w:hAnsi="Calibri"/>
                <w:sz w:val="22"/>
              </w:rPr>
              <w:t>73,069 shares</w:t>
            </w:r>
          </w:p>
        </w:tc>
        <w:tc>
          <w:tcPr>
            <w:tcW w:type="dxa" w:w="1234"/>
          </w:tcPr>
          <w:p>
            <w:r>
              <w:rPr>
                <w:rFonts w:ascii="Calibri" w:hAnsi="Calibri"/>
                <w:sz w:val="22"/>
              </w:rPr>
              <w:t>May 29, 2026</w:t>
            </w:r>
          </w:p>
        </w:tc>
        <w:tc>
          <w:tcPr>
            <w:tcW w:type="dxa" w:w="1234"/>
          </w:tcPr>
          <w:p>
            <w:r>
              <w:rPr>
                <w:rFonts w:ascii="Calibri" w:hAnsi="Calibri"/>
                <w:sz w:val="22"/>
              </w:rPr>
              <w:t>June 2, 2026</w:t>
            </w:r>
          </w:p>
        </w:tc>
        <w:tc>
          <w:tcPr>
            <w:tcW w:type="dxa" w:w="1234"/>
          </w:tcPr>
          <w:p>
            <w:r>
              <w:rPr>
                <w:rFonts w:ascii="Calibri" w:hAnsi="Calibri"/>
                <w:sz w:val="22"/>
              </w:rPr>
              <w:t>Discretionary sale; 16,221 shares remaining post-transaction. Not flagged as 10b5-1 plan. Modest size relative to typical executive holdings.</w:t>
            </w:r>
          </w:p>
        </w:tc>
      </w:tr>
    </w:tbl>
    <w:p>
      <w:r>
        <w:rPr>
          <w:rFonts w:ascii="Calibri" w:hAnsi="Calibri"/>
          <w:i/>
          <w:color w:val="525866"/>
          <w:sz w:val="22"/>
        </w:rPr>
        <w:t>Source: SEC Form 4 Filings (filed June 2, 2026; transaction executed May 29, 2026).</w:t>
      </w:r>
    </w:p>
    <w:p>
      <w:r>
        <w:rPr>
          <w:rFonts w:ascii="Calibri" w:hAnsi="Calibri"/>
          <w:color w:val="525866"/>
          <w:sz w:val="22"/>
        </w:rPr>
        <w:t>No open-market purchases were disclosed by any VZ insider in the period since Q1 earnings (April 27 – July 23, 2026). The single sale by the Chief HR Officer is not a meaningful negative signal given its modest size and the absence of any cluster of insider selling. The lack of insider buying despite the ~7% stock pullback since Q1 earnings is worth monitoring but is not unusual for a large-cap company with active buyback programs.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