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WAB (Wabtec) before writing the preview. Let me start by gathering recent filings, transcripts, and news.I'll read the most recent earnings materials and get more context.Let me gather recent news, analyst context, and stock price performance.Here's the earnings preview.</w:t>
      </w:r>
    </w:p>
    <w:p>
      <w:r>
        <w:pict>
          <v:rect style="width:0;height:1.5pt" o:hralign="center" o:hrstd="t" o:hr="t"/>
        </w:pict>
      </w:r>
    </w:p>
    <w:bookmarkStart w:id="16" w:name="wabtec-wab--q2-2026-earnings-preview"/>
    <w:p>
      <w:pPr>
        <w:pStyle w:val="Heading1"/>
      </w:pPr>
      <w:r>
        <w:t xml:space="preserve">Wabtec (WAB) — Q2 2026 Earnings Preview</w:t>
      </w:r>
    </w:p>
    <w:p>
      <w:pPr>
        <w:pStyle w:val="FirstParagraph"/>
      </w:pPr>
      <w:r>
        <w:rPr>
          <w:b/>
          <w:bCs/>
        </w:rPr>
        <w:t xml:space="preserve">Report date:</w:t>
      </w:r>
      <w:r>
        <w:t xml:space="preserve"> </w:t>
      </w:r>
      <w:r>
        <w:t xml:space="preserve">Wednesday, July 22, 2026 (before market open) ·</w:t>
      </w:r>
      <w:r>
        <w:t xml:space="preserve"> </w:t>
      </w:r>
      <w:r>
        <w:rPr>
          <w:b/>
          <w:bCs/>
        </w:rPr>
        <w:t xml:space="preserve">Call:</w:t>
      </w:r>
      <w:r>
        <w:t xml:space="preserve"> </w:t>
      </w:r>
      <w:r>
        <w:t xml:space="preserve">8:30 a.m. ET</w:t>
      </w:r>
    </w:p>
    <w:bookmarkStart w:id="9" w:name="the-one-line-setup"/>
    <w:p>
      <w:pPr>
        <w:pStyle w:val="Heading2"/>
      </w:pPr>
      <w:r>
        <w:t xml:space="preserve">The one-line setup</w:t>
      </w:r>
    </w:p>
    <w:p>
      <w:pPr>
        <w:pStyle w:val="FirstParagraph"/>
      </w:pPr>
      <w:r>
        <w:t xml:space="preserve">Wabtec heads into Q2 riding one of its strongest operating streaks in years — double-digit sales growth, a record multi-year backlog, and a fresh guidance raise last quarter. The bar is high, the stock has cooled off its June peak, and the key questions are whether momentum is durable and how much of Q1's upside was "real" versus one-time.</w:t>
      </w:r>
    </w:p>
    <w:p>
      <w:r>
        <w:pict>
          <v:rect style="width:0;height:1.5pt" o:hralign="center" o:hrstd="t" o:hr="t"/>
        </w:pict>
      </w:r>
    </w:p>
    <w:bookmarkEnd w:id="9"/>
    <w:bookmarkStart w:id="10"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Q2'26 Consensus</w:t>
            </w:r>
          </w:p>
        </w:tc>
        <w:tc>
          <w:tcPr/>
          <w:p>
            <w:pPr>
              <w:pStyle w:val="Compact"/>
            </w:pPr>
            <w:r>
              <w:t xml:space="preserve">Q2'25 Actual</w:t>
            </w:r>
          </w:p>
        </w:tc>
        <w:tc>
          <w:tcPr/>
          <w:p>
            <w:pPr>
              <w:pStyle w:val="Compact"/>
            </w:pPr>
            <w:r>
              <w:t xml:space="preserve">Implied YoY</w:t>
            </w:r>
          </w:p>
        </w:tc>
      </w:tr>
      <w:tr>
        <w:tc>
          <w:tcPr/>
          <w:p>
            <w:pPr>
              <w:pStyle w:val="Compact"/>
            </w:pPr>
            <w:r>
              <w:t xml:space="preserve">Revenue</w:t>
            </w:r>
          </w:p>
        </w:tc>
        <w:tc>
          <w:tcPr/>
          <w:p>
            <w:pPr>
              <w:pStyle w:val="Compact"/>
            </w:pPr>
            <w:r>
              <w:t xml:space="preserve">~$3.07B</w:t>
            </w:r>
          </w:p>
        </w:tc>
        <w:tc>
          <w:tcPr/>
          <w:p>
            <w:pPr>
              <w:pStyle w:val="Compact"/>
            </w:pPr>
            <w:r>
              <w:t xml:space="preserve">$2.71B</w:t>
            </w:r>
          </w:p>
        </w:tc>
        <w:tc>
          <w:tcPr/>
          <w:p>
            <w:pPr>
              <w:pStyle w:val="Compact"/>
            </w:pPr>
            <w:r>
              <w:t xml:space="preserve">~+13%</w:t>
            </w:r>
          </w:p>
        </w:tc>
      </w:tr>
      <w:tr>
        <w:tc>
          <w:tcPr/>
          <w:p>
            <w:pPr>
              <w:pStyle w:val="Compact"/>
            </w:pPr>
            <w:r>
              <w:t xml:space="preserve">Adjusted EPS</w:t>
            </w:r>
          </w:p>
        </w:tc>
        <w:tc>
          <w:tcPr/>
          <w:p>
            <w:pPr>
              <w:pStyle w:val="Compact"/>
            </w:pPr>
            <w:r>
              <w:t xml:space="preserve">$2.63</w:t>
            </w:r>
          </w:p>
        </w:tc>
        <w:tc>
          <w:tcPr/>
          <w:p>
            <w:pPr>
              <w:pStyle w:val="Compact"/>
            </w:pPr>
            <w:r>
              <w:t xml:space="preserve">$2.27</w:t>
            </w:r>
          </w:p>
        </w:tc>
        <w:tc>
          <w:tcPr/>
          <w:p>
            <w:pPr>
              <w:pStyle w:val="Compact"/>
            </w:pPr>
            <w:r>
              <w:t xml:space="preserve">+15.9%</w:t>
            </w:r>
          </w:p>
        </w:tc>
      </w:tr>
      <w:tr>
        <w:tc>
          <w:tcPr/>
          <w:p>
            <w:pPr>
              <w:pStyle w:val="Compact"/>
            </w:pPr>
            <w:r>
              <w:t xml:space="preserve">GAAP EPS</w:t>
            </w:r>
          </w:p>
        </w:tc>
        <w:tc>
          <w:tcPr/>
          <w:p>
            <w:pPr>
              <w:pStyle w:val="Compact"/>
            </w:pPr>
            <w:r>
              <w:t xml:space="preserve">—</w:t>
            </w:r>
          </w:p>
        </w:tc>
        <w:tc>
          <w:tcPr/>
          <w:p>
            <w:pPr>
              <w:pStyle w:val="Compact"/>
            </w:pPr>
            <w:r>
              <w:t xml:space="preserve">$1.96</w:t>
            </w:r>
          </w:p>
        </w:tc>
        <w:tc>
          <w:tcPr/>
          <w:p>
            <w:pPr>
              <w:pStyle w:val="Compact"/>
            </w:pPr>
            <w:r>
              <w:t xml:space="preserve">—</w:t>
            </w:r>
          </w:p>
        </w:tc>
      </w:tr>
    </w:tbl>
    <w:p>
      <w:pPr>
        <w:pStyle w:val="BodyText"/>
      </w:pPr>
      <w:r>
        <w:t xml:space="preserve">Consensus points to roughly $3.07 billion in revenue and $2.63 in adjusted EPS, up about 16% year over year. For reference, in Q2 2025 Wabtec posted revenue of $2.71 billion (+2.3%) and adjusted EPS of $2.27, which beat the</w:t>
      </w:r>
      <w:r>
        <w:t xml:space="preserve"> </w:t>
      </w:r>
      <m:oMath>
        <m:r>
          <m:t>2.18</m:t>
        </m:r>
        <m:r>
          <m:t>c</m:t>
        </m:r>
        <m:r>
          <m:t>o</m:t>
        </m:r>
        <m:r>
          <m:t>n</m:t>
        </m:r>
        <m:r>
          <m:t>s</m:t>
        </m:r>
        <m:r>
          <m:t>e</m:t>
        </m:r>
        <m:r>
          <m:t>n</m:t>
        </m:r>
        <m:r>
          <m:t>s</m:t>
        </m:r>
        <m:r>
          <m:t>u</m:t>
        </m:r>
        <m:r>
          <m:t>s</m:t>
        </m:r>
        <m:r>
          <m:t>a</m:t>
        </m:r>
        <m:r>
          <m:t>t</m:t>
        </m:r>
        <m:r>
          <m:t>t</m:t>
        </m:r>
        <m:r>
          <m:t>h</m:t>
        </m:r>
        <m:r>
          <m:t>e</m:t>
        </m:r>
        <m:r>
          <m:t>t</m:t>
        </m:r>
        <m:r>
          <m:t>i</m:t>
        </m:r>
        <m:r>
          <m:t>m</m:t>
        </m:r>
        <m:r>
          <m:t>e</m:t>
        </m:r>
        <m:r>
          <m:rPr>
            <m:sty m:val="p"/>
          </m:rPr>
          <m:t>;</m:t>
        </m:r>
        <m:r>
          <m:t>t</m:t>
        </m:r>
        <m:r>
          <m:t>h</m:t>
        </m:r>
        <m:r>
          <m:t>e</m:t>
        </m:r>
        <m:r>
          <m:t>F</m:t>
        </m:r>
        <m:r>
          <m:t>r</m:t>
        </m:r>
        <m:r>
          <m:t>e</m:t>
        </m:r>
        <m:r>
          <m:t>i</m:t>
        </m:r>
        <m:r>
          <m:t>g</m:t>
        </m:r>
        <m:r>
          <m:t>h</m:t>
        </m:r>
        <m:r>
          <m:t>t</m:t>
        </m:r>
        <m:r>
          <m:t>s</m:t>
        </m:r>
        <m:r>
          <m:t>e</m:t>
        </m:r>
        <m:r>
          <m:t>g</m:t>
        </m:r>
        <m:r>
          <m:t>m</m:t>
        </m:r>
        <m:r>
          <m:t>e</m:t>
        </m:r>
        <m:r>
          <m:t>n</m:t>
        </m:r>
        <m:r>
          <m:t>t</m:t>
        </m:r>
        <m:r>
          <m:t>w</m:t>
        </m:r>
        <m:r>
          <m:t>a</m:t>
        </m:r>
        <m:r>
          <m:t>s</m:t>
        </m:r>
        <m:r>
          <m:t>r</m:t>
        </m:r>
        <m:r>
          <m:t>o</m:t>
        </m:r>
        <m:r>
          <m:t>u</m:t>
        </m:r>
        <m:r>
          <m:t>g</m:t>
        </m:r>
        <m:r>
          <m:t>h</m:t>
        </m:r>
        <m:r>
          <m:t>l</m:t>
        </m:r>
        <m:r>
          <m:t>y</m:t>
        </m:r>
        <m:r>
          <m:t>f</m:t>
        </m:r>
        <m:r>
          <m:t>l</m:t>
        </m:r>
        <m:r>
          <m:t>a</m:t>
        </m:r>
        <m:r>
          <m:t>t</m:t>
        </m:r>
        <m:r>
          <m:rPr>
            <m:sty m:val="p"/>
          </m:rPr>
          <m:t>(</m:t>
        </m:r>
        <m:r>
          <m:t> </m:t>
        </m:r>
      </m:oMath>
      <w:r>
        <w:t xml:space="preserve">1.91B) while Transit drove the growth.</w:t>
      </w:r>
    </w:p>
    <w:p>
      <w:pPr>
        <w:pStyle w:val="BodyText"/>
      </w:pPr>
      <w:r>
        <w:rPr>
          <w:b/>
          <w:bCs/>
        </w:rPr>
        <w:t xml:space="preserve">Management's own steer matters here.</w:t>
      </w:r>
      <w:r>
        <w:t xml:space="preserve"> </w:t>
      </w:r>
      <w:r>
        <w:t xml:space="preserve">On the Q1 call, CFO John Olin explicitly guided that Q2 "is going to pretty closely mirror the first quarter in terms of revenue growth, in terms of margin growth and in terms of EPS —</w:t>
      </w:r>
      <w:r>
        <w:t xml:space="preserve"> </w:t>
      </w:r>
      <w:r>
        <w:rPr>
          <w:i/>
          <w:iCs/>
        </w:rPr>
        <w:t xml:space="preserve">less the operational benefit that we had in the first quarter.</w:t>
      </w:r>
      <w:r>
        <w:t xml:space="preserve">" That's an important caveat: Q1's</w:t>
      </w:r>
      <w:r>
        <w:t xml:space="preserve"> </w:t>
      </w:r>
      <m:oMath>
        <m:r>
          <m:t>2.71</m:t>
        </m:r>
        <m:r>
          <m:t>a</m:t>
        </m:r>
        <m:r>
          <m:t>d</m:t>
        </m:r>
        <m:r>
          <m:t>j</m:t>
        </m:r>
        <m:r>
          <m:t>u</m:t>
        </m:r>
        <m:r>
          <m:t>s</m:t>
        </m:r>
        <m:r>
          <m:t>t</m:t>
        </m:r>
        <m:r>
          <m:t>e</m:t>
        </m:r>
        <m:r>
          <m:t>d</m:t>
        </m:r>
        <m:r>
          <m:t>E</m:t>
        </m:r>
        <m:r>
          <m:t>P</m:t>
        </m:r>
        <m:r>
          <m:t>S</m:t>
        </m:r>
        <m:r>
          <m:t>i</m:t>
        </m:r>
        <m:r>
          <m:t>n</m:t>
        </m:r>
        <m:r>
          <m:t>c</m:t>
        </m:r>
        <m:r>
          <m:t>l</m:t>
        </m:r>
        <m:r>
          <m:t>u</m:t>
        </m:r>
        <m:r>
          <m:t>d</m:t>
        </m:r>
        <m:r>
          <m:t>e</m:t>
        </m:r>
        <m:r>
          <m:t>d</m:t>
        </m:r>
        <m:r>
          <m:t> </m:t>
        </m:r>
      </m:oMath>
      <w:r>
        <w:t xml:space="preserve">0.10 of non-operational tailwinds (favorable FX in other income + a low Q1 tax rate of 22.2% vs. the ~24.5% full-year assumption). So a Q2 number in the ~</w:t>
      </w:r>
      <m:oMath>
        <m:r>
          <m:t>2.55</m:t>
        </m:r>
        <m:r>
          <m:rPr>
            <m:sty m:val="p"/>
          </m:rPr>
          <m:t>–</m:t>
        </m:r>
      </m:oMath>
      <w:r>
        <w:t xml:space="preserve">2.70 range would be consistent with the guide, and consensus at $2.63 sits squarely in that zone.</w:t>
      </w:r>
    </w:p>
    <w:p>
      <w:r>
        <w:pict>
          <v:rect style="width:0;height:1.5pt" o:hralign="center" o:hrstd="t" o:hr="t"/>
        </w:pict>
      </w:r>
    </w:p>
    <w:bookmarkEnd w:id="10"/>
    <w:bookmarkStart w:id="11" w:name="X5156135cba6335b394de829fd64917018e17d79"/>
    <w:p>
      <w:pPr>
        <w:pStyle w:val="Heading2"/>
      </w:pPr>
      <w:r>
        <w:t xml:space="preserve">Why the momentum has been strong (the Q1 recap)</w:t>
      </w:r>
    </w:p>
    <w:p>
      <w:pPr>
        <w:pStyle w:val="Compact"/>
        <w:numPr>
          <w:ilvl w:val="0"/>
          <w:numId w:val="1001"/>
        </w:numPr>
      </w:pPr>
      <w:r>
        <w:rPr>
          <w:b/>
          <w:bCs/>
        </w:rPr>
        <w:t xml:space="preserve">Revenue</w:t>
      </w:r>
      <w:r>
        <w:t xml:space="preserve"> </w:t>
      </w:r>
      <w:r>
        <w:t xml:space="preserve">grew 13.0% to $2.95B; adjusted EPS jumped 18.9% to $2.71 — a clear beat that prompted a $0.20 midpoint raise to full-year guidance.</w:t>
      </w:r>
    </w:p>
    <w:p>
      <w:pPr>
        <w:pStyle w:val="Compact"/>
        <w:numPr>
          <w:ilvl w:val="0"/>
          <w:numId w:val="1001"/>
        </w:numPr>
      </w:pPr>
      <w:r>
        <w:rPr>
          <w:b/>
          <w:bCs/>
        </w:rPr>
        <w:t xml:space="preserve">Backlog is the standout.</w:t>
      </w:r>
      <w:r>
        <w:t xml:space="preserve"> </w:t>
      </w:r>
      <w:r>
        <w:t xml:space="preserve">Multi-year backlog hit $30.8B (+38% YoY) and 12-month backlog reached $9.25B (+12.8%). Even stripping out FX and the Dellner acquisition, core 12-month backlog growth was ~8%, giving unusually strong forward visibility ("the strongest visibility we've had since '19," per CEO Rafael Santana).</w:t>
      </w:r>
    </w:p>
    <w:p>
      <w:pPr>
        <w:pStyle w:val="Compact"/>
        <w:numPr>
          <w:ilvl w:val="0"/>
          <w:numId w:val="1001"/>
        </w:numPr>
      </w:pPr>
      <w:r>
        <w:rPr>
          <w:b/>
          <w:bCs/>
        </w:rPr>
        <w:t xml:space="preserve">Freight equipment surged</w:t>
      </w:r>
      <w:r>
        <w:t xml:space="preserve"> </w:t>
      </w:r>
      <w:r>
        <w:t xml:space="preserve">+52.5% on higher locomotive deliveries, offsetting a planned ~17% drop in Services (fewer modernization deliveries).</w:t>
      </w:r>
    </w:p>
    <w:p>
      <w:pPr>
        <w:pStyle w:val="Compact"/>
        <w:numPr>
          <w:ilvl w:val="0"/>
          <w:numId w:val="1001"/>
        </w:numPr>
      </w:pPr>
      <w:r>
        <w:rPr>
          <w:b/>
          <w:bCs/>
        </w:rPr>
        <w:t xml:space="preserve">Transit</w:t>
      </w:r>
      <w:r>
        <w:t xml:space="preserve"> </w:t>
      </w:r>
      <w:r>
        <w:t xml:space="preserve">grew 17.8% (11% ex-FX), boosted by the Dellner acquisition and with margins expanding 2.0 pts to 16.6%.</w:t>
      </w:r>
    </w:p>
    <w:p>
      <w:r>
        <w:pict>
          <v:rect style="width:0;height:1.5pt" o:hralign="center" o:hrstd="t" o:hr="t"/>
        </w:pict>
      </w:r>
    </w:p>
    <w:bookmarkEnd w:id="11"/>
    <w:bookmarkStart w:id="12" w:name="the-five-things-to-watch-on-the-print"/>
    <w:p>
      <w:pPr>
        <w:pStyle w:val="Heading2"/>
      </w:pPr>
      <w:r>
        <w:t xml:space="preserve">The five things to watch on the print</w:t>
      </w:r>
    </w:p>
    <w:p>
      <w:pPr>
        <w:pStyle w:val="FirstParagraph"/>
      </w:pPr>
      <w:r>
        <w:rPr>
          <w:b/>
          <w:bCs/>
        </w:rPr>
        <w:t xml:space="preserve">1. Quality of earnings — operational vs. non-operational.</w:t>
      </w:r>
      <w:r>
        <w:t xml:space="preserve"> </w:t>
      </w:r>
      <w:r>
        <w:t xml:space="preserve">Q1's beat leaned partly on FX and tax timing. Investors will scrutinize whether Q2's EPS is driven by underlying execution (margin, mix, cost recovery) rather than below-the-line noise. Watch the adjusted effective tax rate (should normalize toward ~24.5%) and other income.</w:t>
      </w:r>
    </w:p>
    <w:p>
      <w:pPr>
        <w:pStyle w:val="BodyText"/>
      </w:pPr>
      <w:r>
        <w:rPr>
          <w:b/>
          <w:bCs/>
        </w:rPr>
        <w:t xml:space="preserve">2. Margins and the tariff timing story.</w:t>
      </w:r>
      <w:r>
        <w:t xml:space="preserve"> </w:t>
      </w:r>
      <w:r>
        <w:t xml:space="preserve">Management framed H1 2026 as the</w:t>
      </w:r>
      <w:r>
        <w:t xml:space="preserve"> </w:t>
      </w:r>
      <w:r>
        <w:rPr>
          <w:i/>
          <w:iCs/>
        </w:rPr>
        <w:t xml:space="preserve">peak</w:t>
      </w:r>
      <w:r>
        <w:t xml:space="preserve"> </w:t>
      </w:r>
      <w:r>
        <w:t xml:space="preserve">of tariff margin pressure, dissipating in H2 as year-ago comps lap. Q1 adjusted operating margin still expanded modestly (+0.2 pts to 21.9%) despite this headwind and tough comps. Any commentary that H2 margin relief is on track — plus updates on the "4-pronged" tariff mitigation and Section 232 (which they called financially neutral) — will shape the second-half setup.</w:t>
      </w:r>
    </w:p>
    <w:p>
      <w:pPr>
        <w:pStyle w:val="BodyText"/>
      </w:pPr>
      <w:r>
        <w:rPr>
          <w:b/>
          <w:bCs/>
        </w:rPr>
        <w:t xml:space="preserve">3. Backlog momentum and book-to-bill.</w:t>
      </w:r>
      <w:r>
        <w:t xml:space="preserve"> </w:t>
      </w:r>
      <w:r>
        <w:t xml:space="preserve">With multi-year backlog already at record levels, the market wants to see the international pipeline (Kazakhstan, Latin America, Africa, India, Australia/Brazil) keep converting to orders. Watch whether 12-month backlog growth holds ~8% ex-acquisitions/FX — this underpins the "mid-single-digit organic growth" thesis for the year.</w:t>
      </w:r>
    </w:p>
    <w:p>
      <w:pPr>
        <w:pStyle w:val="BodyText"/>
      </w:pPr>
      <w:r>
        <w:rPr>
          <w:b/>
          <w:bCs/>
        </w:rPr>
        <w:t xml:space="preserve">4. North American softness offsets.</w:t>
      </w:r>
      <w:r>
        <w:t xml:space="preserve"> </w:t>
      </w:r>
      <w:r>
        <w:t xml:space="preserve">The near-term headwinds are real: the 2026 North American railcar build is projected down ~22% to ~24,000 cars, and modernization deliveries are down double digits. The bull case relies on international strength, aftermarket/services on a growing installed base, and new-product catalysts (EVO Advantage mod program, Zero-to-Zero automation, battery-electric/hybrid) offsetting the domestic soft patch.</w:t>
      </w:r>
    </w:p>
    <w:p>
      <w:pPr>
        <w:pStyle w:val="BodyText"/>
      </w:pPr>
      <w:r>
        <w:rPr>
          <w:b/>
          <w:bCs/>
        </w:rPr>
        <w:t xml:space="preserve">5. M&amp;A integration and capital returns.</w:t>
      </w:r>
      <w:r>
        <w:t xml:space="preserve"> </w:t>
      </w:r>
      <w:r>
        <w:t xml:space="preserve">Dellner (~</w:t>
      </w:r>
      <m:oMath>
        <m:r>
          <m:t>1</m:t>
        </m:r>
        <m:r>
          <m:t>B</m:t>
        </m:r>
        <m:r>
          <m:rPr>
            <m:sty m:val="p"/>
          </m:rPr>
          <m:t>)</m:t>
        </m:r>
        <m:r>
          <m:rPr>
            <m:sty m:val="p"/>
          </m:rPr>
          <m:t>,</m:t>
        </m:r>
        <m:r>
          <m:t>I</m:t>
        </m:r>
        <m:r>
          <m:t>n</m:t>
        </m:r>
        <m:r>
          <m:t>s</m:t>
        </m:r>
        <m:r>
          <m:t>p</m:t>
        </m:r>
        <m:r>
          <m:t>e</m:t>
        </m:r>
        <m:r>
          <m:t>c</m:t>
        </m:r>
        <m:r>
          <m:t>t</m:t>
        </m:r>
        <m:r>
          <m:t>i</m:t>
        </m:r>
        <m:r>
          <m:t>o</m:t>
        </m:r>
        <m:r>
          <m:t>n</m:t>
        </m:r>
        <m:r>
          <m:t>T</m:t>
        </m:r>
        <m:r>
          <m:t>e</m:t>
        </m:r>
        <m:r>
          <m:t>c</m:t>
        </m:r>
        <m:r>
          <m:t>h</m:t>
        </m:r>
        <m:r>
          <m:t>n</m:t>
        </m:r>
        <m:r>
          <m:t>o</m:t>
        </m:r>
        <m:r>
          <m:t>l</m:t>
        </m:r>
        <m:r>
          <m:t>o</m:t>
        </m:r>
        <m:r>
          <m:t>g</m:t>
        </m:r>
        <m:r>
          <m:t>i</m:t>
        </m:r>
        <m:r>
          <m:t>e</m:t>
        </m:r>
        <m:r>
          <m:t>s</m:t>
        </m:r>
        <m:r>
          <m:rPr>
            <m:sty m:val="p"/>
          </m:rPr>
          <m:t>,</m:t>
        </m:r>
        <m:r>
          <m:t>a</m:t>
        </m:r>
        <m:r>
          <m:t>n</m:t>
        </m:r>
        <m:r>
          <m:t>d</m:t>
        </m:r>
        <m:r>
          <m:t>F</m:t>
        </m:r>
        <m:r>
          <m:t>r</m:t>
        </m:r>
        <m:r>
          <m:t>a</m:t>
        </m:r>
        <m:r>
          <m:t>u</m:t>
        </m:r>
        <m:r>
          <m:t>s</m:t>
        </m:r>
        <m:r>
          <m:t>c</m:t>
        </m:r>
        <m:r>
          <m:t>h</m:t>
        </m:r>
        <m:r>
          <m:t>e</m:t>
        </m:r>
        <m:r>
          <m:t>r</m:t>
        </m:r>
        <m:r>
          <m:t>a</m:t>
        </m:r>
        <m:r>
          <m:t>r</m:t>
        </m:r>
        <m:r>
          <m:t>e</m:t>
        </m:r>
        <m:r>
          <m:t>r</m:t>
        </m:r>
        <m:r>
          <m:t>e</m:t>
        </m:r>
        <m:r>
          <m:t>p</m:t>
        </m:r>
        <m:r>
          <m:t>o</m:t>
        </m:r>
        <m:r>
          <m:t>r</m:t>
        </m:r>
        <m:r>
          <m:t>t</m:t>
        </m:r>
        <m:r>
          <m:t>e</m:t>
        </m:r>
        <m:r>
          <m:t>d</m:t>
        </m:r>
        <m:r>
          <m:t>l</m:t>
        </m:r>
        <m:r>
          <m:t>y</m:t>
        </m:r>
        <m:r>
          <m:t>r</m:t>
        </m:r>
        <m:r>
          <m:t>u</m:t>
        </m:r>
        <m:r>
          <m:t>n</m:t>
        </m:r>
        <m:r>
          <m:t>n</m:t>
        </m:r>
        <m:r>
          <m:t>i</m:t>
        </m:r>
        <m:r>
          <m:t>n</m:t>
        </m:r>
        <m:r>
          <m:t>g</m:t>
        </m:r>
        <m:r>
          <m:t>a</m:t>
        </m:r>
        <m:r>
          <m:t>h</m:t>
        </m:r>
        <m:r>
          <m:t>e</m:t>
        </m:r>
        <m:r>
          <m:t>a</m:t>
        </m:r>
        <m:r>
          <m:t>d</m:t>
        </m:r>
        <m:r>
          <m:t>o</m:t>
        </m:r>
        <m:r>
          <m:t>f</m:t>
        </m:r>
        <m:r>
          <m:t>p</m:t>
        </m:r>
        <m:r>
          <m:t>l</m:t>
        </m:r>
        <m:r>
          <m:t>a</m:t>
        </m:r>
        <m:r>
          <m:t>n</m:t>
        </m:r>
        <m:r>
          <m:rPr>
            <m:sty m:val="p"/>
          </m:rPr>
          <m:t>.</m:t>
        </m:r>
        <m:r>
          <m:t>L</m:t>
        </m:r>
        <m:r>
          <m:t>o</m:t>
        </m:r>
        <m:r>
          <m:t>o</m:t>
        </m:r>
        <m:r>
          <m:t>k</m:t>
        </m:r>
        <m:r>
          <m:t>f</m:t>
        </m:r>
        <m:r>
          <m:t>o</m:t>
        </m:r>
        <m:r>
          <m:t>r</m:t>
        </m:r>
        <m:r>
          <m:t>u</m:t>
        </m:r>
        <m:r>
          <m:t>p</m:t>
        </m:r>
        <m:r>
          <m:t>d</m:t>
        </m:r>
        <m:r>
          <m:t>a</m:t>
        </m:r>
        <m:r>
          <m:t>t</m:t>
        </m:r>
        <m:r>
          <m:t>e</m:t>
        </m:r>
        <m:r>
          <m:t>d</m:t>
        </m:r>
        <m:r>
          <m:t>s</m:t>
        </m:r>
        <m:r>
          <m:t>y</m:t>
        </m:r>
        <m:r>
          <m:t>n</m:t>
        </m:r>
        <m:r>
          <m:t>e</m:t>
        </m:r>
        <m:r>
          <m:t>r</m:t>
        </m:r>
        <m:r>
          <m:t>g</m:t>
        </m:r>
        <m:r>
          <m:t>y</m:t>
        </m:r>
        <m:r>
          <m:rPr>
            <m:sty m:val="p"/>
          </m:rPr>
          <m:t>/</m:t>
        </m:r>
        <m:r>
          <m:t>a</m:t>
        </m:r>
        <m:r>
          <m:t>c</m:t>
        </m:r>
        <m:r>
          <m:t>c</m:t>
        </m:r>
        <m:r>
          <m:t>r</m:t>
        </m:r>
        <m:r>
          <m:t>e</m:t>
        </m:r>
        <m:r>
          <m:t>t</m:t>
        </m:r>
        <m:r>
          <m:t>i</m:t>
        </m:r>
        <m:r>
          <m:t>o</m:t>
        </m:r>
        <m:r>
          <m:t>n</m:t>
        </m:r>
        <m:r>
          <m:t>c</m:t>
        </m:r>
        <m:r>
          <m:t>o</m:t>
        </m:r>
        <m:r>
          <m:t>m</m:t>
        </m:r>
        <m:r>
          <m:t>m</m:t>
        </m:r>
        <m:r>
          <m:t>e</m:t>
        </m:r>
        <m:r>
          <m:t>n</m:t>
        </m:r>
        <m:r>
          <m:t>t</m:t>
        </m:r>
        <m:r>
          <m:t>a</m:t>
        </m:r>
        <m:r>
          <m:t>r</m:t>
        </m:r>
        <m:r>
          <m:t>y</m:t>
        </m:r>
        <m:r>
          <m:t>a</m:t>
        </m:r>
        <m:r>
          <m:t>n</m:t>
        </m:r>
        <m:r>
          <m:t>d</m:t>
        </m:r>
        <m:r>
          <m:t>c</m:t>
        </m:r>
        <m:r>
          <m:t>o</m:t>
        </m:r>
        <m:r>
          <m:t>n</m:t>
        </m:r>
        <m:r>
          <m:t>f</m:t>
        </m:r>
        <m:r>
          <m:t>i</m:t>
        </m:r>
        <m:r>
          <m:t>r</m:t>
        </m:r>
        <m:r>
          <m:t>m</m:t>
        </m:r>
        <m:r>
          <m:t>a</m:t>
        </m:r>
        <m:r>
          <m:t>t</m:t>
        </m:r>
        <m:r>
          <m:t>i</m:t>
        </m:r>
        <m:r>
          <m:t>o</m:t>
        </m:r>
        <m:r>
          <m:t>n</m:t>
        </m:r>
        <m:r>
          <m:t>t</m:t>
        </m:r>
        <m:r>
          <m:t>h</m:t>
        </m:r>
        <m:r>
          <m:t>a</m:t>
        </m:r>
        <m:r>
          <m:t>t</m:t>
        </m:r>
        <m:r>
          <m:t>l</m:t>
        </m:r>
        <m:r>
          <m:t>e</m:t>
        </m:r>
        <m:r>
          <m:t>v</m:t>
        </m:r>
        <m:r>
          <m:t>e</m:t>
        </m:r>
        <m:r>
          <m:t>r</m:t>
        </m:r>
        <m:r>
          <m:t>a</m:t>
        </m:r>
        <m:r>
          <m:t>g</m:t>
        </m:r>
        <m:r>
          <m:t>e</m:t>
        </m:r>
        <m:r>
          <m:rPr>
            <m:sty m:val="p"/>
          </m:rPr>
          <m:t>(</m:t>
        </m:r>
        <m:r>
          <m:t>2.3</m:t>
        </m:r>
        <m:r>
          <m:t>x</m:t>
        </m:r>
        <m:r>
          <m:rPr>
            <m:sty m:val="p"/>
          </m:rPr>
          <m:t>,</m:t>
        </m:r>
        <m:r>
          <m:t>w</m:t>
        </m:r>
        <m:r>
          <m:t>i</m:t>
        </m:r>
        <m:r>
          <m:t>t</m:t>
        </m:r>
        <m:r>
          <m:t>h</m:t>
        </m:r>
        <m:r>
          <m:t>i</m:t>
        </m:r>
        <m:r>
          <m:t>n</m:t>
        </m:r>
        <m:r>
          <m:t>t</m:t>
        </m:r>
        <m:r>
          <m:t>h</m:t>
        </m:r>
        <m:r>
          <m:t>e</m:t>
        </m:r>
        <m:r>
          <m:t>2.0</m:t>
        </m:r>
        <m:r>
          <m:rPr>
            <m:sty m:val="p"/>
          </m:rPr>
          <m:t>–</m:t>
        </m:r>
        <m:r>
          <m:t>2.5</m:t>
        </m:r>
        <m:r>
          <m:t>x</m:t>
        </m:r>
        <m:r>
          <m:t>t</m:t>
        </m:r>
        <m:r>
          <m:t>a</m:t>
        </m:r>
        <m:r>
          <m:t>r</m:t>
        </m:r>
        <m:r>
          <m:t>g</m:t>
        </m:r>
        <m:r>
          <m:t>e</m:t>
        </m:r>
        <m:r>
          <m:t>t</m:t>
        </m:r>
        <m:r>
          <m:rPr>
            <m:sty m:val="p"/>
          </m:rPr>
          <m:t>)</m:t>
        </m:r>
        <m:r>
          <m:t>l</m:t>
        </m:r>
        <m:r>
          <m:t>e</m:t>
        </m:r>
        <m:r>
          <m:t>a</m:t>
        </m:r>
        <m:r>
          <m:t>v</m:t>
        </m:r>
        <m:r>
          <m:t>e</m:t>
        </m:r>
        <m:r>
          <m:t>s</m:t>
        </m:r>
        <m:r>
          <m:t>r</m:t>
        </m:r>
        <m:r>
          <m:t>o</m:t>
        </m:r>
        <m:r>
          <m:t>o</m:t>
        </m:r>
        <m:r>
          <m:t>m</m:t>
        </m:r>
        <m:r>
          <m:t>f</m:t>
        </m:r>
        <m:r>
          <m:t>o</m:t>
        </m:r>
        <m:r>
          <m:t>r</m:t>
        </m:r>
        <m:r>
          <m:t>c</m:t>
        </m:r>
        <m:r>
          <m:t>o</m:t>
        </m:r>
        <m:r>
          <m:t>n</m:t>
        </m:r>
        <m:r>
          <m:t>t</m:t>
        </m:r>
        <m:r>
          <m:t>i</m:t>
        </m:r>
        <m:r>
          <m:t>n</m:t>
        </m:r>
        <m:r>
          <m:t>u</m:t>
        </m:r>
        <m:r>
          <m:t>e</m:t>
        </m:r>
        <m:r>
          <m:t>d</m:t>
        </m:r>
        <m:r>
          <m:t>b</m:t>
        </m:r>
        <m:r>
          <m:t>u</m:t>
        </m:r>
        <m:r>
          <m:t>y</m:t>
        </m:r>
        <m:r>
          <m:t>b</m:t>
        </m:r>
        <m:r>
          <m:t>a</m:t>
        </m:r>
        <m:r>
          <m:t>c</m:t>
        </m:r>
        <m:r>
          <m:t>k</m:t>
        </m:r>
        <m:r>
          <m:t>s</m:t>
        </m:r>
        <m:r>
          <m:rPr>
            <m:sty m:val="p"/>
          </m:rPr>
          <m:t>(</m:t>
        </m:r>
        <m:r>
          <m:t> </m:t>
        </m:r>
      </m:oMath>
      <w:r>
        <w:t xml:space="preserve">242M repurchased in Q1) and the dividend.</w:t>
      </w:r>
    </w:p>
    <w:p>
      <w:r>
        <w:pict>
          <v:rect style="width:0;height:1.5pt" o:hralign="center" o:hrstd="t" o:hr="t"/>
        </w:pict>
      </w:r>
    </w:p>
    <w:bookmarkEnd w:id="12"/>
    <w:bookmarkStart w:id="13" w:name="full-year-guidance-frame"/>
    <w:p>
      <w:pPr>
        <w:pStyle w:val="Heading2"/>
      </w:pPr>
      <w:r>
        <w:t xml:space="preserve">Full-year guidance frame</w:t>
      </w:r>
    </w:p>
    <w:p>
      <w:pPr>
        <w:pStyle w:val="FirstParagraph"/>
      </w:pPr>
      <w:r>
        <w:t xml:space="preserve">Current FY2026 guidance:</w:t>
      </w:r>
      <w:r>
        <w:t xml:space="preserve"> </w:t>
      </w:r>
      <w:r>
        <w:rPr>
          <w:b/>
          <w:bCs/>
        </w:rPr>
        <w:t xml:space="preserve">revenue</w:t>
      </w:r>
      <w:r>
        <w:rPr>
          <w:b/>
          <w:bCs/>
        </w:rPr>
        <w:t xml:space="preserve"> </w:t>
      </w:r>
      <m:oMath>
        <m:r>
          <m:t>12.19</m:t>
        </m:r>
        <m:r>
          <m:rPr>
            <m:sty m:val="p"/>
          </m:rPr>
          <m:t>–</m:t>
        </m:r>
      </m:oMath>
      <w:r>
        <w:rPr>
          <w:b/>
          <w:bCs/>
        </w:rPr>
        <w:t xml:space="preserve">12.49B</w:t>
      </w:r>
      <w:r>
        <w:t xml:space="preserve"> </w:t>
      </w:r>
      <w:r>
        <w:t xml:space="preserve">(+10.5% at midpoint, unchanged since Q1) and</w:t>
      </w:r>
      <w:r>
        <w:t xml:space="preserve"> </w:t>
      </w:r>
      <w:r>
        <w:rPr>
          <w:b/>
          <w:bCs/>
        </w:rPr>
        <w:t xml:space="preserve">adjusted EPS</w:t>
      </w:r>
      <w:r>
        <w:rPr>
          <w:b/>
          <w:bCs/>
        </w:rPr>
        <w:t xml:space="preserve"> </w:t>
      </w:r>
      <m:oMath>
        <m:r>
          <m:t>10.25</m:t>
        </m:r>
        <m:r>
          <m:rPr>
            <m:sty m:val="p"/>
          </m:rPr>
          <m:t>–</m:t>
        </m:r>
      </m:oMath>
      <w:r>
        <w:rPr>
          <w:b/>
          <w:bCs/>
        </w:rPr>
        <w:t xml:space="preserve">10.65</w:t>
      </w:r>
      <w:r>
        <w:t xml:space="preserve"> </w:t>
      </w:r>
      <w:r>
        <w:t xml:space="preserve">(+16.5%). Given Wabtec's pattern of front-loaded revenue (acquisition laps) and back-half margin relief, the debate will be whether a Q2 beat prompts</w:t>
      </w:r>
      <w:r>
        <w:t xml:space="preserve"> </w:t>
      </w:r>
      <w:r>
        <w:rPr>
          <w:i/>
          <w:iCs/>
        </w:rPr>
        <w:t xml:space="preserve">another</w:t>
      </w:r>
      <w:r>
        <w:t xml:space="preserve"> </w:t>
      </w:r>
      <w:r>
        <w:t xml:space="preserve">raise — or whether management holds guidance and points to H2 tariff/inflation risk (metals, precious metals, memory chips) as reasons for caution.</w:t>
      </w:r>
    </w:p>
    <w:p>
      <w:r>
        <w:pict>
          <v:rect style="width:0;height:1.5pt" o:hralign="center" o:hrstd="t" o:hr="t"/>
        </w:pict>
      </w:r>
    </w:p>
    <w:bookmarkEnd w:id="13"/>
    <w:bookmarkStart w:id="14" w:name="stock--sentiment-context"/>
    <w:p>
      <w:pPr>
        <w:pStyle w:val="Heading2"/>
      </w:pPr>
      <w:r>
        <w:t xml:space="preserve">Stock &amp; sentiment context</w:t>
      </w:r>
    </w:p>
    <w:p>
      <w:pPr>
        <w:pStyle w:val="Compact"/>
        <w:numPr>
          <w:ilvl w:val="0"/>
          <w:numId w:val="1002"/>
        </w:numPr>
      </w:pPr>
      <w:r>
        <w:t xml:space="preserve">WAB is up roughly</w:t>
      </w:r>
      <w:r>
        <w:t xml:space="preserve"> </w:t>
      </w:r>
      <w:r>
        <w:rPr>
          <w:b/>
          <w:bCs/>
        </w:rPr>
        <w:t xml:space="preserve">+22% YTD</w:t>
      </w:r>
      <w:r>
        <w:t xml:space="preserve"> </w:t>
      </w:r>
      <w:r>
        <w:t xml:space="preserve">(~</w:t>
      </w:r>
      <m:oMath>
        <m:r>
          <m:t>216</m:t>
        </m:r>
        <m:r>
          <m:rPr>
            <m:sty m:val="p"/>
          </m:rPr>
          <m:t>→</m:t>
        </m:r>
        <m:r>
          <m:t> </m:t>
        </m:r>
      </m:oMath>
      <w:r>
        <w:t xml:space="preserve">264), but has slipped about</w:t>
      </w:r>
      <w:r>
        <w:t xml:space="preserve"> </w:t>
      </w:r>
      <w:r>
        <w:rPr>
          <w:b/>
          <w:bCs/>
        </w:rPr>
        <w:t xml:space="preserve">-7% off its late-June peak</w:t>
      </w:r>
      <w:r>
        <w:t xml:space="preserve"> </w:t>
      </w:r>
      <w:r>
        <w:t xml:space="preserve">near $282, so expectations have already been partly rewarded — a "prove-it" setup.</w:t>
      </w:r>
    </w:p>
    <w:p>
      <w:pPr>
        <w:pStyle w:val="Compact"/>
        <w:numPr>
          <w:ilvl w:val="0"/>
          <w:numId w:val="1002"/>
        </w:numPr>
      </w:pPr>
      <w:r>
        <w:t xml:space="preserve">Sell-side is</w:t>
      </w:r>
      <w:r>
        <w:t xml:space="preserve"> </w:t>
      </w:r>
      <w:r>
        <w:rPr>
          <w:b/>
          <w:bCs/>
        </w:rPr>
        <w:t xml:space="preserve">broadly constructive but split on valuation</w:t>
      </w:r>
      <w:r>
        <w:t xml:space="preserve">: recent actions include JPMorgan raising its target to $300 (Neutral), Citigroup trimming to $311 (Buy), Jefferies reiterating Buy at</w:t>
      </w:r>
      <w:r>
        <w:t xml:space="preserve"> </w:t>
      </w:r>
      <m:oMath>
        <m:r>
          <m:t>290</m:t>
        </m:r>
        <m:r>
          <m:rPr>
            <m:sty m:val="p"/>
          </m:rPr>
          <m:t>,</m:t>
        </m:r>
        <m:r>
          <m:t>S</m:t>
        </m:r>
        <m:r>
          <m:t>t</m:t>
        </m:r>
        <m:r>
          <m:t>e</m:t>
        </m:r>
        <m:r>
          <m:t>p</m:t>
        </m:r>
        <m:r>
          <m:t>h</m:t>
        </m:r>
        <m:r>
          <m:t>e</m:t>
        </m:r>
        <m:r>
          <m:t>n</m:t>
        </m:r>
        <m:r>
          <m:t>s</m:t>
        </m:r>
        <m:r>
          <m:t>u</m:t>
        </m:r>
        <m:r>
          <m:t>p</m:t>
        </m:r>
        <m:r>
          <m:t>g</m:t>
        </m:r>
        <m:r>
          <m:t>r</m:t>
        </m:r>
        <m:r>
          <m:t>a</m:t>
        </m:r>
        <m:r>
          <m:t>d</m:t>
        </m:r>
        <m:r>
          <m:t>i</m:t>
        </m:r>
        <m:r>
          <m:t>n</m:t>
        </m:r>
        <m:r>
          <m:t>g</m:t>
        </m:r>
        <m:r>
          <m:t>t</m:t>
        </m:r>
        <m:r>
          <m:t>o</m:t>
        </m:r>
        <m:r>
          <m:t>S</m:t>
        </m:r>
        <m:r>
          <m:t>t</m:t>
        </m:r>
        <m:r>
          <m:t>r</m:t>
        </m:r>
        <m:r>
          <m:t>o</m:t>
        </m:r>
        <m:r>
          <m:t>n</m:t>
        </m:r>
        <m:r>
          <m:t>g</m:t>
        </m:r>
        <m:r>
          <m:t>B</m:t>
        </m:r>
        <m:r>
          <m:t>u</m:t>
        </m:r>
        <m:r>
          <m:t>y</m:t>
        </m:r>
        <m:r>
          <m:rPr>
            <m:sty m:val="p"/>
          </m:rPr>
          <m:t>,</m:t>
        </m:r>
        <m:r>
          <m:t>a</m:t>
        </m:r>
        <m:r>
          <m:t>n</m:t>
        </m:r>
        <m:r>
          <m:t>d</m:t>
        </m:r>
        <m:r>
          <m:t>W</m:t>
        </m:r>
        <m:r>
          <m:t>e</m:t>
        </m:r>
        <m:r>
          <m:t>l</m:t>
        </m:r>
        <m:r>
          <m:t>l</m:t>
        </m:r>
        <m:r>
          <m:t>s</m:t>
        </m:r>
        <m:r>
          <m:t>F</m:t>
        </m:r>
        <m:r>
          <m:t>a</m:t>
        </m:r>
        <m:r>
          <m:t>r</m:t>
        </m:r>
        <m:r>
          <m:t>g</m:t>
        </m:r>
        <m:r>
          <m:t>o</m:t>
        </m:r>
        <m:r>
          <m:t>h</m:t>
        </m:r>
        <m:r>
          <m:t>o</m:t>
        </m:r>
        <m:r>
          <m:t>l</m:t>
        </m:r>
        <m:r>
          <m:t>d</m:t>
        </m:r>
        <m:r>
          <m:t>i</m:t>
        </m:r>
        <m:r>
          <m:t>n</m:t>
        </m:r>
        <m:r>
          <m:t>g</m:t>
        </m:r>
        <m:r>
          <m:rPr>
            <m:sty m:val="p"/>
          </m:rPr>
          <m:t>.</m:t>
        </m:r>
        <m:r>
          <m:t>C</m:t>
        </m:r>
        <m:r>
          <m:t>o</m:t>
        </m:r>
        <m:r>
          <m:t>n</m:t>
        </m:r>
        <m:r>
          <m:t>s</m:t>
        </m:r>
        <m:r>
          <m:t>e</m:t>
        </m:r>
        <m:r>
          <m:t>n</m:t>
        </m:r>
        <m:r>
          <m:t>s</m:t>
        </m:r>
        <m:r>
          <m:t>u</m:t>
        </m:r>
        <m:r>
          <m:t>s</m:t>
        </m:r>
        <m:r>
          <m:t>t</m:t>
        </m:r>
        <m:r>
          <m:t>a</m:t>
        </m:r>
        <m:r>
          <m:t>r</m:t>
        </m:r>
        <m:r>
          <m:t>g</m:t>
        </m:r>
        <m:r>
          <m:t>e</m:t>
        </m:r>
        <m:r>
          <m:t>t</m:t>
        </m:r>
        <m:r>
          <m:t>s</m:t>
        </m:r>
        <m:r>
          <m:t>c</m:t>
        </m:r>
        <m:r>
          <m:t>l</m:t>
        </m:r>
        <m:r>
          <m:t>u</m:t>
        </m:r>
        <m:r>
          <m:t>s</m:t>
        </m:r>
        <m:r>
          <m:t>t</m:t>
        </m:r>
        <m:r>
          <m:t>e</m:t>
        </m:r>
        <m:r>
          <m:t>r</m:t>
        </m:r>
        <m:r>
          <m:t>i</m:t>
        </m:r>
        <m:r>
          <m:t>n</m:t>
        </m:r>
        <m:r>
          <m:t>t</m:t>
        </m:r>
        <m:r>
          <m:t>h</m:t>
        </m:r>
        <m:r>
          <m:t>e</m:t>
        </m:r>
        <m:r>
          <m:t> </m:t>
        </m:r>
      </m:oMath>
      <w:r>
        <w:t xml:space="preserve">290–$310 range, implying modest upside.</w:t>
      </w:r>
    </w:p>
    <w:p>
      <w:pPr>
        <w:pStyle w:val="Compact"/>
        <w:numPr>
          <w:ilvl w:val="0"/>
          <w:numId w:val="1002"/>
        </w:numPr>
      </w:pPr>
      <w:r>
        <w:t xml:space="preserve">Rail peers</w:t>
      </w:r>
      <w:r>
        <w:t xml:space="preserve"> </w:t>
      </w:r>
      <w:r>
        <w:rPr>
          <w:b/>
          <w:bCs/>
        </w:rPr>
        <w:t xml:space="preserve">Greenbrier (GBX)</w:t>
      </w:r>
      <w:r>
        <w:t xml:space="preserve"> </w:t>
      </w:r>
      <w:r>
        <w:t xml:space="preserve">and</w:t>
      </w:r>
      <w:r>
        <w:t xml:space="preserve"> </w:t>
      </w:r>
      <w:r>
        <w:rPr>
          <w:b/>
          <w:bCs/>
        </w:rPr>
        <w:t xml:space="preserve">Trinity (TRN)</w:t>
      </w:r>
      <w:r>
        <w:t xml:space="preserve"> </w:t>
      </w:r>
      <w:r>
        <w:t xml:space="preserve">offer a read on North American railcar demand — a soft area for WAB — so cross-read commentary on carloads and equipment demand is relevant.</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This is a momentum-and-execution story colliding with an elevated bar. The likely-strong headline (record backlog, double-digit growth, ahead-of-plan M&amp;A) is largely known; the</w:t>
      </w:r>
      <w:r>
        <w:t xml:space="preserve"> </w:t>
      </w:r>
      <w:r>
        <w:rPr>
          <w:b/>
          <w:bCs/>
        </w:rPr>
        <w:t xml:space="preserve">incremental questions are earnings quality, whether H2 margin relief materializes, and whether the international/aftermarket engine can more than offset weak North American railcar and mod demand.</w:t>
      </w:r>
      <w:r>
        <w:t xml:space="preserve"> </w:t>
      </w:r>
      <w:r>
        <w:t xml:space="preserve">A clean beat with backlog durability and a possible guidance nudge would validate the re-rating; a mirror-Q1 in-line print that leans on non-operational items — or any hint that tariff/inflation pressure is stickier than framed — could pressure a stock that's already given back some of its recent gains.</w:t>
      </w:r>
    </w:p>
    <w:p>
      <w:pPr>
        <w:pStyle w:val="BodyText"/>
      </w:pPr>
      <w:r>
        <w:rPr>
          <w:i/>
          <w:iCs/>
        </w:rPr>
        <w:t xml:space="preserve">Note: figures reflect Wabtec's press releases/transcript and third-party consensus estimates gathered ahead of the report; actuals may differ.</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2026-07-22T00:15:53Z</dcterms:created>
  <dcterms:modified xsi:type="dcterms:W3CDTF">2026-07-22T00:15:53Z</dcterms:modified>
</cp:coreProperties>
</file>

<file path=docProps/custom.xml><?xml version="1.0" encoding="utf-8"?>
<Properties xmlns="http://schemas.openxmlformats.org/officeDocument/2006/custom-properties" xmlns:vt="http://schemas.openxmlformats.org/officeDocument/2006/docPropsVTypes"/>
</file>