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5" w:name="wabtec-wab-q2-2026-earnings-preview"/>
    <w:p>
      <w:pPr>
        <w:pStyle w:val="Heading1"/>
      </w:pPr>
      <w:r>
        <w:t xml:space="preserve">Wabtec (WAB) Q2 2026 Earnings Preview</w:t>
      </w:r>
    </w:p>
    <w:p>
      <w:pPr>
        <w:pStyle w:val="FirstParagraph"/>
      </w:pPr>
      <w:r>
        <w:rPr>
          <w:b/>
          <w:bCs/>
        </w:rPr>
        <w:t xml:space="preserve">Report Date:</w:t>
      </w:r>
      <w:r>
        <w:t xml:space="preserve"> </w:t>
      </w:r>
      <w:r>
        <w:t xml:space="preserve">Wednesday, July 22, 2026, before market open | Conference call 8:30 a.m. ET</w:t>
      </w:r>
    </w:p>
    <w:p>
      <w:r>
        <w:pict>
          <v:rect style="width:0;height:1.5pt" o:hralign="center" o:hrstd="t" o:hr="t"/>
        </w:pict>
      </w:r>
    </w:p>
    <w:bookmarkStart w:id="9" w:name="setup-into-the-print"/>
    <w:p>
      <w:pPr>
        <w:pStyle w:val="Heading2"/>
      </w:pPr>
      <w:r>
        <w:t xml:space="preserve">Setup Into The Print</w:t>
      </w:r>
    </w:p>
    <w:p>
      <w:pPr>
        <w:pStyle w:val="FirstParagraph"/>
      </w:pPr>
      <w:r>
        <w:t xml:space="preserve">Wabtec shares have had a strong run, trading around</w:t>
      </w:r>
      <w:r>
        <w:t xml:space="preserve"> </w:t>
      </w:r>
      <w:r>
        <w:rPr>
          <w:b/>
          <w:bCs/>
        </w:rPr>
        <w:t xml:space="preserve">$258-264</w:t>
      </w:r>
      <w:r>
        <w:t xml:space="preserve"> </w:t>
      </w:r>
      <w:r>
        <w:t xml:space="preserve">heading into the print, near their 52-week high after rallying from a 52-week low of</w:t>
      </w:r>
      <w:r>
        <w:t xml:space="preserve"> </w:t>
      </w:r>
      <m:oMath>
        <m:r>
          <m:t>184.26</m:t>
        </m:r>
        <m:r>
          <m:rPr>
            <m:sty m:val="p"/>
          </m:rPr>
          <m:t>.</m:t>
        </m:r>
        <m:r>
          <m:t>T</m:t>
        </m:r>
        <m:r>
          <m:t>h</m:t>
        </m:r>
        <m:r>
          <m:t>e</m:t>
        </m:r>
        <m:r>
          <m:t>s</m:t>
        </m:r>
        <m:r>
          <m:t>t</m:t>
        </m:r>
        <m:r>
          <m:t>o</m:t>
        </m:r>
        <m:r>
          <m:t>c</m:t>
        </m:r>
        <m:sSup>
          <m:e>
            <m:r>
              <m:t>k</m:t>
            </m:r>
          </m:e>
          <m:sup>
            <m:r>
              <m:rPr>
                <m:sty m:val="p"/>
              </m:rPr>
              <m:t>′</m:t>
            </m:r>
          </m:sup>
        </m:sSup>
        <m:r>
          <m:t>s</m:t>
        </m:r>
        <m:r>
          <m:t>50</m:t>
        </m:r>
        <m:r>
          <m:rPr>
            <m:sty m:val="p"/>
          </m:rPr>
          <m:t>−</m:t>
        </m:r>
        <m:r>
          <m:t>d</m:t>
        </m:r>
        <m:r>
          <m:t>a</m:t>
        </m:r>
        <m:r>
          <m:t>y</m:t>
        </m:r>
        <m:r>
          <m:t>m</m:t>
        </m:r>
        <m:r>
          <m:t>o</m:t>
        </m:r>
        <m:r>
          <m:t>v</m:t>
        </m:r>
        <m:r>
          <m:t>i</m:t>
        </m:r>
        <m:r>
          <m:t>n</m:t>
        </m:r>
        <m:r>
          <m:t>g</m:t>
        </m:r>
        <m:r>
          <m:t>a</m:t>
        </m:r>
        <m:r>
          <m:t>v</m:t>
        </m:r>
        <m:r>
          <m:t>e</m:t>
        </m:r>
        <m:r>
          <m:t>r</m:t>
        </m:r>
        <m:r>
          <m:t>a</m:t>
        </m:r>
        <m:r>
          <m:t>g</m:t>
        </m:r>
        <m:r>
          <m:t>e</m:t>
        </m:r>
        <m:r>
          <m:rPr>
            <m:sty m:val="p"/>
          </m:rPr>
          <m:t>(</m:t>
        </m:r>
        <m:r>
          <m:t> </m:t>
        </m:r>
      </m:oMath>
      <w:r>
        <w:t xml:space="preserve">264) sits modestly above its 200-day (~$253), reflecting a constructive but slightly cooling near-term trend after a sharp Q1-driven rally.</w:t>
      </w:r>
    </w:p>
    <w:p>
      <w:pPr>
        <w:pStyle w:val="BodyText"/>
      </w:pPr>
      <w:r>
        <w:t xml:space="preserve">On July 8, 2026, Stephens reinstated coverage of Wabtec with an Overweight rating and a $320 price target, arguing the potential for earnings growth outweighs risks and that Wabtec's premium valuation (P/E near 37x) is justified. The firm noted the transport cycle is broadly improving, with "more fundamental upside potential than downside risk ahead," and that momentum should extend into 2027. That bullish call joins a broader wave of target revisions — JPMorgan raised its price target to $300 from $290 (7/13), while Citi trimmed its target to $311 from $313 (7/13), and Wells Fargo maintained a Hold rating (7/14). Consensus sits around $290-303 with a mostly Buy-skewed rating distribution.</w:t>
      </w:r>
    </w:p>
    <w:p>
      <w:pPr>
        <w:pStyle w:val="BodyText"/>
      </w:pPr>
      <w:r>
        <w:t xml:space="preserve">Notably, CEO Rafael Santana sold roughly $296K of stock on a pre-planned basis on July 7 — a routine 10b5-1 type transaction, not indicative of a signal ahead of earnings.</w:t>
      </w:r>
    </w:p>
    <w:p>
      <w:r>
        <w:pict>
          <v:rect style="width:0;height:1.5pt" o:hralign="center" o:hrstd="t" o:hr="t"/>
        </w:pict>
      </w:r>
    </w:p>
    <w:bookmarkEnd w:id="9"/>
    <w:bookmarkStart w:id="10" w:name="X165d626a65d70cea2f3a39453caf3331180dfce"/>
    <w:p>
      <w:pPr>
        <w:pStyle w:val="Heading2"/>
      </w:pPr>
      <w:r>
        <w:t xml:space="preserve">What Happened Last Quarter (Q1 2026 Recap — Context for Q2)</w:t>
      </w:r>
    </w:p>
    <w:p>
      <w:pPr>
        <w:pStyle w:val="FirstParagraph"/>
      </w:pPr>
      <w:r>
        <w:t xml:space="preserve">Wabtec's Q1 2026 print (reported April 22) was strong and margin/EPS-driven rather than a pure top-line beat:</w:t>
      </w:r>
    </w:p>
    <w:p>
      <w:pPr>
        <w:pStyle w:val="Compact"/>
        <w:numPr>
          <w:ilvl w:val="0"/>
          <w:numId w:val="1001"/>
        </w:numPr>
      </w:pPr>
      <w:r>
        <w:rPr>
          <w:b/>
          <w:bCs/>
        </w:rPr>
        <w:t xml:space="preserve">Sales:</w:t>
      </w:r>
      <w:r>
        <w:t xml:space="preserve"> </w:t>
      </w:r>
      <m:oMath>
        <m:r>
          <m:t>2.95</m:t>
        </m:r>
        <m:r>
          <m:t>B</m:t>
        </m:r>
        <m:r>
          <m:rPr>
            <m:sty m:val="p"/>
          </m:rPr>
          <m:t>,</m:t>
        </m:r>
        <m:r>
          <m:rPr>
            <m:sty m:val="p"/>
          </m:rPr>
          <m:t>+</m:t>
        </m:r>
        <m:r>
          <m:t>13.0</m:t>
        </m:r>
      </m:oMath>
      <w:r>
        <w:t xml:space="preserve">3.08B consensus).</w:t>
      </w:r>
    </w:p>
    <w:p>
      <w:pPr>
        <w:pStyle w:val="Compact"/>
        <w:numPr>
          <w:ilvl w:val="0"/>
          <w:numId w:val="1001"/>
        </w:numPr>
      </w:pPr>
      <w:r>
        <w:rPr>
          <w:b/>
          <w:bCs/>
        </w:rPr>
        <w:t xml:space="preserve">Adjusted EPS:</w:t>
      </w:r>
      <w:r>
        <w:t xml:space="preserve"> </w:t>
      </w:r>
      <m:oMath>
        <m:r>
          <m:t>2.71</m:t>
        </m:r>
        <m:r>
          <m:rPr>
            <m:sty m:val="p"/>
          </m:rPr>
          <m:t>,</m:t>
        </m:r>
        <m:r>
          <m:rPr>
            <m:sty m:val="p"/>
          </m:rPr>
          <m:t>+</m:t>
        </m:r>
        <m:r>
          <m:t>18.9</m:t>
        </m:r>
      </m:oMath>
      <w:r>
        <w:t xml:space="preserve">2.55-2.62) comfortably.</w:t>
      </w:r>
    </w:p>
    <w:p>
      <w:pPr>
        <w:pStyle w:val="Compact"/>
        <w:numPr>
          <w:ilvl w:val="0"/>
          <w:numId w:val="1001"/>
        </w:numPr>
      </w:pPr>
      <w:r>
        <w:rPr>
          <w:b/>
          <w:bCs/>
        </w:rPr>
        <w:t xml:space="preserve">Backlog:</w:t>
      </w:r>
      <w:r>
        <w:t xml:space="preserve"> </w:t>
      </w:r>
      <w:r>
        <w:t xml:space="preserve">12-month backlog of</w:t>
      </w:r>
      <w:r>
        <w:t xml:space="preserve"> </w:t>
      </w:r>
      <m:oMath>
        <m:r>
          <m:t>9.25</m:t>
        </m:r>
        <m:r>
          <m:t>B</m:t>
        </m:r>
        <m:r>
          <m:rPr>
            <m:sty m:val="p"/>
          </m:rPr>
          <m:t>(</m:t>
        </m:r>
        <m:r>
          <m:rPr>
            <m:sty m:val="p"/>
          </m:rPr>
          <m:t>+</m:t>
        </m:r>
        <m:r>
          <m:t>12.8</m:t>
        </m:r>
      </m:oMath>
      <w:r>
        <w:t xml:space="preserve">30.8B**, up 38.1% YoY.</w:t>
      </w:r>
    </w:p>
    <w:p>
      <w:pPr>
        <w:pStyle w:val="Compact"/>
        <w:numPr>
          <w:ilvl w:val="0"/>
          <w:numId w:val="1001"/>
        </w:numPr>
      </w:pPr>
      <w:r>
        <w:rPr>
          <w:b/>
          <w:bCs/>
        </w:rPr>
        <w:t xml:space="preserve">Guidance:</w:t>
      </w:r>
      <w:r>
        <w:t xml:space="preserve"> </w:t>
      </w:r>
      <w:r>
        <w:t xml:space="preserve">Management raised full-year adjusted EPS guidance to</w:t>
      </w:r>
      <w:r>
        <w:t xml:space="preserve"> </w:t>
      </w:r>
      <m:oMath>
        <m:r>
          <m:t>10.25</m:t>
        </m:r>
        <m:r>
          <m:rPr>
            <m:sty m:val="p"/>
          </m:rPr>
          <m:t>−</m:t>
        </m:r>
      </m:oMath>
      <w:r>
        <w:rPr>
          <w:b/>
          <w:bCs/>
        </w:rPr>
        <w:t xml:space="preserve">10.65</w:t>
      </w:r>
      <w:r>
        <w:t xml:space="preserve"> </w:t>
      </w:r>
      <w:r>
        <w:t xml:space="preserve">(from</w:t>
      </w:r>
      <w:r>
        <w:t xml:space="preserve"> </w:t>
      </w:r>
      <m:oMath>
        <m:r>
          <m:t>10.05</m:t>
        </m:r>
        <m:r>
          <m:rPr>
            <m:sty m:val="p"/>
          </m:rPr>
          <m:t>−</m:t>
        </m:r>
      </m:oMath>
      <w:r>
        <w:t xml:space="preserve">10.45), while</w:t>
      </w:r>
      <w:r>
        <w:t xml:space="preserve"> </w:t>
      </w:r>
      <w:r>
        <w:rPr>
          <w:b/>
          <w:bCs/>
        </w:rPr>
        <w:t xml:space="preserve">holding revenue guidance unchanged</w:t>
      </w:r>
      <w:r>
        <w:t xml:space="preserve"> </w:t>
      </w:r>
      <w:r>
        <w:t xml:space="preserve">at</w:t>
      </w:r>
      <w:r>
        <w:t xml:space="preserve"> </w:t>
      </w:r>
      <m:oMath>
        <m:r>
          <m:t>12.19</m:t>
        </m:r>
        <m:r>
          <m:rPr>
            <m:sty m:val="p"/>
          </m:rPr>
          <m:t>−</m:t>
        </m:r>
      </m:oMath>
      <w:r>
        <w:t xml:space="preserve">12.49B.</w:t>
      </w:r>
    </w:p>
    <w:p>
      <w:pPr>
        <w:pStyle w:val="FirstParagraph"/>
      </w:pPr>
      <w:r>
        <w:t xml:space="preserve">Management explicitly told investors that roughly half of the $0.20 EPS raise was operational (better cost control, mitigation of tariffs) and half was non-operational (FX gains and tax-timing benefits) — a nuance likely to resurface in Q2 questions about sustainability.</w:t>
      </w:r>
    </w:p>
    <w:p>
      <w:pPr>
        <w:pStyle w:val="BodyText"/>
      </w:pPr>
      <w:r>
        <w:t xml:space="preserve">Critically, on the Q1 call CFO John Olin told analysts to expect</w:t>
      </w:r>
      <w:r>
        <w:t xml:space="preserve"> </w:t>
      </w:r>
      <w:r>
        <w:rPr>
          <w:b/>
          <w:bCs/>
        </w:rPr>
        <w:t xml:space="preserve">Q2 to "mirror pretty closely" Q1</w:t>
      </w:r>
      <w:r>
        <w:t xml:space="preserve"> </w:t>
      </w:r>
      <w:r>
        <w:t xml:space="preserve">in terms of revenue growth, margin expansion and absolute EPS, "less the operational benefit that we had in the first quarter" (i.e., without the one-time tax/FX tailwind). That guidance is the key benchmark for tomorrow's print.</w:t>
      </w:r>
    </w:p>
    <w:p>
      <w:r>
        <w:pict>
          <v:rect style="width:0;height:1.5pt" o:hralign="center" o:hrstd="t" o:hr="t"/>
        </w:pict>
      </w:r>
    </w:p>
    <w:bookmarkEnd w:id="10"/>
    <w:bookmarkStart w:id="11" w:name="q2-2026-consensus-expectations"/>
    <w:p>
      <w:pPr>
        <w:pStyle w:val="Heading2"/>
      </w:pPr>
      <w:r>
        <w:t xml:space="preserve">Q2 2026 Consensus Expectations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pPr>
            <w:r>
              <w:t xml:space="preserve">Q2 2026 Consensus</w:t>
            </w:r>
          </w:p>
        </w:tc>
        <w:tc>
          <w:tcPr/>
          <w:p>
            <w:pPr>
              <w:pStyle w:val="Compact"/>
            </w:pPr>
            <w:r>
              <w:t xml:space="preserve">Q2 2025 Actual</w:t>
            </w:r>
          </w:p>
        </w:tc>
        <w:tc>
          <w:tcPr/>
          <w:p>
            <w:pPr>
              <w:pStyle w:val="Compact"/>
            </w:pPr>
            <w:r>
              <w:t xml:space="preserve">Implied Growth</w:t>
            </w:r>
          </w:p>
        </w:tc>
      </w:tr>
      <w:tr>
        <w:tc>
          <w:tcPr/>
          <w:p>
            <w:pPr>
              <w:pStyle w:val="Compact"/>
            </w:pPr>
            <w:r>
              <w:t xml:space="preserve">Adjusted EPS</w:t>
            </w:r>
          </w:p>
        </w:tc>
        <w:tc>
          <w:tcPr/>
          <w:p>
            <w:pPr>
              <w:pStyle w:val="Compact"/>
            </w:pPr>
            <w:r>
              <w:t xml:space="preserve">~$2.63</w:t>
            </w:r>
          </w:p>
        </w:tc>
        <w:tc>
          <w:tcPr/>
          <w:p>
            <w:pPr>
              <w:pStyle w:val="Compact"/>
            </w:pPr>
            <w:r>
              <w:t xml:space="preserve">$2.28 (per FY EPS build)</w:t>
            </w:r>
          </w:p>
        </w:tc>
        <w:tc>
          <w:tcPr/>
          <w:p>
            <w:pPr>
              <w:pStyle w:val="Compact"/>
            </w:pPr>
            <w:r>
              <w:t xml:space="preserve">~+15% (below Q1's +19%)</w:t>
            </w:r>
          </w:p>
        </w:tc>
      </w:tr>
      <w:tr>
        <w:tc>
          <w:tcPr/>
          <w:p>
            <w:pPr>
              <w:pStyle w:val="Compact"/>
            </w:pPr>
            <w:r>
              <w:t xml:space="preserve">Revenue</w:t>
            </w:r>
          </w:p>
        </w:tc>
        <w:tc>
          <w:tcPr/>
          <w:p>
            <w:pPr>
              <w:pStyle w:val="Compact"/>
            </w:pPr>
            <w:r>
              <w:t xml:space="preserve">~$3.07-3.08B</w:t>
            </w:r>
          </w:p>
        </w:tc>
        <w:tc>
          <w:tcPr/>
          <w:p>
            <w:pPr>
              <w:pStyle w:val="Compact"/>
            </w:pPr>
            <w:r>
              <w:t xml:space="preserve">~$2.71B</w:t>
            </w:r>
          </w:p>
        </w:tc>
        <w:tc>
          <w:tcPr/>
          <w:p>
            <w:pPr>
              <w:pStyle w:val="Compact"/>
            </w:pPr>
            <w:r>
              <w:t xml:space="preserve">~+13.7%</w:t>
            </w:r>
          </w:p>
        </w:tc>
      </w:tr>
      <w:tr>
        <w:tc>
          <w:tcPr/>
          <w:p>
            <w:pPr>
              <w:pStyle w:val="Compact"/>
            </w:pPr>
            <w:r>
              <w:t xml:space="preserve">Transit segment sales</w:t>
            </w:r>
          </w:p>
        </w:tc>
        <w:tc>
          <w:tcPr/>
          <w:p>
            <w:pPr>
              <w:pStyle w:val="Compact"/>
            </w:pPr>
            <w:r>
              <w:t xml:space="preserve">~$885.7M</w:t>
            </w:r>
          </w:p>
        </w:tc>
        <w:tc>
          <w:tcPr/>
          <w:p>
            <w:pPr>
              <w:pStyle w:val="Compact"/>
            </w:pPr>
            <w:r>
              <w:t xml:space="preserve">—</w:t>
            </w:r>
          </w:p>
        </w:tc>
        <w:tc>
          <w:tcPr/>
          <w:p>
            <w:pPr>
              <w:pStyle w:val="Compact"/>
            </w:pPr>
            <w:r>
              <w:t xml:space="preserve">+12.5% YoY</w:t>
            </w:r>
          </w:p>
        </w:tc>
      </w:tr>
      <w:tr>
        <w:tc>
          <w:tcPr/>
          <w:p>
            <w:pPr>
              <w:pStyle w:val="Compact"/>
            </w:pPr>
            <w:r>
              <w:t xml:space="preserve">Freight segment sales</w:t>
            </w:r>
          </w:p>
        </w:tc>
        <w:tc>
          <w:tcPr/>
          <w:p>
            <w:pPr>
              <w:pStyle w:val="Compact"/>
            </w:pPr>
            <w:r>
              <w:t xml:space="preserve">~$2.19B</w:t>
            </w:r>
          </w:p>
        </w:tc>
        <w:tc>
          <w:tcPr/>
          <w:p>
            <w:pPr>
              <w:pStyle w:val="Compact"/>
            </w:pPr>
            <w:r>
              <w:t xml:space="preserve">—</w:t>
            </w:r>
          </w:p>
        </w:tc>
        <w:tc>
          <w:tcPr/>
          <w:p>
            <w:pPr>
              <w:pStyle w:val="Compact"/>
            </w:pPr>
            <w:r>
              <w:t xml:space="preserve">+14.4% YoY</w:t>
            </w:r>
          </w:p>
        </w:tc>
      </w:tr>
      <w:tr>
        <w:tc>
          <w:tcPr/>
          <w:p>
            <w:pPr>
              <w:pStyle w:val="Compact"/>
            </w:pPr>
            <w:r>
              <w:t xml:space="preserve">Freight operating income</w:t>
            </w:r>
          </w:p>
        </w:tc>
        <w:tc>
          <w:tcPr/>
          <w:p>
            <w:pPr>
              <w:pStyle w:val="Compact"/>
            </w:pPr>
            <w:r>
              <w:t xml:space="preserve">~$528M</w:t>
            </w:r>
          </w:p>
        </w:tc>
        <w:tc>
          <w:tcPr/>
          <w:p>
            <w:pPr>
              <w:pStyle w:val="Compact"/>
            </w:pPr>
            <w:r>
              <w:t xml:space="preserve">$415M</w:t>
            </w:r>
          </w:p>
        </w:tc>
        <w:tc>
          <w:tcPr/>
          <w:p>
            <w:pPr>
              <w:pStyle w:val="Compact"/>
            </w:pPr>
            <w:r>
              <w:t xml:space="preserve">—</w:t>
            </w:r>
          </w:p>
        </w:tc>
      </w:tr>
      <w:tr>
        <w:tc>
          <w:tcPr/>
          <w:p>
            <w:pPr>
              <w:pStyle w:val="Compact"/>
            </w:pPr>
            <w:r>
              <w:t xml:space="preserve">Transit operating income (adj.)</w:t>
            </w:r>
          </w:p>
        </w:tc>
        <w:tc>
          <w:tcPr/>
          <w:p>
            <w:pPr>
              <w:pStyle w:val="Compact"/>
            </w:pPr>
            <w:r>
              <w:t xml:space="preserve">~$145M</w:t>
            </w:r>
          </w:p>
        </w:tc>
        <w:tc>
          <w:tcPr/>
          <w:p>
            <w:pPr>
              <w:pStyle w:val="Compact"/>
            </w:pPr>
            <w:r>
              <w:t xml:space="preserve">$120M</w:t>
            </w:r>
          </w:p>
        </w:tc>
        <w:tc>
          <w:tcPr/>
          <w:p>
            <w:pPr>
              <w:pStyle w:val="Compact"/>
            </w:pPr>
            <w:r>
              <w:t xml:space="preserve">—</w:t>
            </w:r>
          </w:p>
        </w:tc>
      </w:tr>
    </w:tbl>
    <w:p>
      <w:pPr>
        <w:pStyle w:val="BodyText"/>
      </w:pPr>
      <w:r>
        <w:t xml:space="preserve">The market is expecting Wabtec's revenue to grow 13.7% year on year, improving from the 2.3% increase it recorded in the same quarter last year. Analysts covering the company have generally reconfirmed their estimates over the last 30 days, suggesting they anticipate the business will stay the course heading into earnings. That said, Wabtec has missed Wall Street's revenue estimates multiple times over the last two years, which is a relevant pattern given Q1's revenue shortfall versus Street numbers despite the EPS beat.</w:t>
      </w:r>
    </w:p>
    <w:p>
      <w:pPr>
        <w:pStyle w:val="BodyText"/>
      </w:pPr>
      <w:r>
        <w:t xml:space="preserve">Peers in the space reported mixed Q2 results: Greenbrier's revenues decreased 31.6% year on year, missing estimates by 5.9% (stock unchanged), while Lindsay's revenue fell 5.1%, also missing estimates (stock down 2.9%) — a reminder that rail-equipment/supply peers have had a bumpier year than Wabtec's aftermarket-heavy, backlog-driven model.</w:t>
      </w:r>
    </w:p>
    <w:p>
      <w:r>
        <w:pict>
          <v:rect style="width:0;height:1.5pt" o:hralign="center" o:hrstd="t" o:hr="t"/>
        </w:pict>
      </w:r>
    </w:p>
    <w:bookmarkEnd w:id="11"/>
    <w:bookmarkStart w:id="12" w:name="key-themes-to-watch-on-the-call"/>
    <w:p>
      <w:pPr>
        <w:pStyle w:val="Heading2"/>
      </w:pPr>
      <w:r>
        <w:t xml:space="preserve">Key Themes To Watch On The Call</w:t>
      </w:r>
    </w:p>
    <w:p>
      <w:pPr>
        <w:pStyle w:val="FirstParagraph"/>
      </w:pPr>
      <w:r>
        <w:rPr>
          <w:b/>
          <w:bCs/>
        </w:rPr>
        <w:t xml:space="preserve">1. Tariffs — Section 232 mitigation and margin cadence.</w:t>
      </w:r>
      <w:r>
        <w:t xml:space="preserve"> </w:t>
      </w:r>
      <w:r>
        <w:t xml:space="preserve">On the Q1 call, management said the recent Section 232 tariff regime change was</w:t>
      </w:r>
      <w:r>
        <w:t xml:space="preserve"> </w:t>
      </w:r>
      <w:r>
        <w:rPr>
          <w:b/>
          <w:bCs/>
        </w:rPr>
        <w:t xml:space="preserve">net-neutral financially</w:t>
      </w:r>
      <w:r>
        <w:t xml:space="preserve">, with the CFO noting tariff costs would "plateau" in Q2 before a modest step-up again in Q4 as the company laps prior-year comparisons. Watch for confirmation that gross-margin pressure from tariffs, input-cost inflation (copper, aluminum, steel, precious metals) and freight/logistics costs is tracking as expected, and whether the back-half margin recovery thesis (dissipating tariff drag) remains intact.</w:t>
      </w:r>
    </w:p>
    <w:p>
      <w:pPr>
        <w:pStyle w:val="BodyText"/>
      </w:pPr>
      <w:r>
        <w:rPr>
          <w:b/>
          <w:bCs/>
        </w:rPr>
        <w:t xml:space="preserve">2. Revenue vs. backlog disconnect.</w:t>
      </w:r>
      <w:r>
        <w:t xml:space="preserve"> </w:t>
      </w:r>
      <w:r>
        <w:t xml:space="preserve">Despite record backlog growth (multi-year backlog +38% YoY, 12-month backlog +12.8%), Wabtec held full-year revenue guidance flat in Q1 even as backlog accelerated. Investors will want color on how much of the ~$30.8B multi-year backlog is converting to 2026 revenue versus 2027+, and whether Dellner, Frauscher and Inspection Technologies contributions are tracking ahead of plan (management said all three were "delivering ahead of our acquisition plan" as of Q1).</w:t>
      </w:r>
    </w:p>
    <w:p>
      <w:pPr>
        <w:pStyle w:val="BodyText"/>
      </w:pPr>
      <w:r>
        <w:rPr>
          <w:b/>
          <w:bCs/>
        </w:rPr>
        <w:t xml:space="preserve">3. Segment mix — Equipment/Services "lumpiness."</w:t>
      </w:r>
      <w:r>
        <w:t xml:space="preserve"> </w:t>
      </w:r>
      <w:r>
        <w:t xml:space="preserve">Management flagged that Q1's outsized Equipment growth (+52.5%) versus Services decline (-17.3%, driven by lower North American modernization deliveries) would persist into Q2, with a "flip" expected toward more balanced growth in the back half. Watch whether modernization deliveries (down double-digits, concentrated in North America) show any signs of stabilizing, and how the EVO modernization platform's commercial rollout is progressing.</w:t>
      </w:r>
    </w:p>
    <w:p>
      <w:pPr>
        <w:pStyle w:val="BodyText"/>
      </w:pPr>
      <w:r>
        <w:rPr>
          <w:b/>
          <w:bCs/>
        </w:rPr>
        <w:t xml:space="preserve">4. North American railcar build headwind.</w:t>
      </w:r>
      <w:r>
        <w:t xml:space="preserve"> </w:t>
      </w:r>
      <w:r>
        <w:t xml:space="preserve">Management guided to ~24,000 new railcars in 2026, down 22% from 2025 — a structural headwind to the Components product line that should persist through Q2 and beyond, offset by international strength (Kazakhstan, Latin America, Africa, India) and mining orders.</w:t>
      </w:r>
    </w:p>
    <w:p>
      <w:pPr>
        <w:pStyle w:val="BodyText"/>
      </w:pPr>
      <w:r>
        <w:rPr>
          <w:b/>
          <w:bCs/>
        </w:rPr>
        <w:t xml:space="preserve">5. Capital allocation and integration.</w:t>
      </w:r>
      <w:r>
        <w:t xml:space="preserve"> </w:t>
      </w:r>
      <w:r>
        <w:t xml:space="preserve">With net leverage at 2.3x (within the 2.0-2.5x target range) after funding the ~$1B Dellner acquisition, watch for updates on additional buybacks (Q1 repurchases were $242M), further M&amp;A appetite (Wabtec has deployed over $4.5B across 20 deals since 2020), and Dellner/Frauscher/Inspection Technologies synergy realization, which management said was "tracking as expected" with run-rate savings expected to scale over the coming years.</w:t>
      </w:r>
    </w:p>
    <w:p>
      <w:pPr>
        <w:pStyle w:val="BodyText"/>
      </w:pPr>
      <w:r>
        <w:rPr>
          <w:b/>
          <w:bCs/>
        </w:rPr>
        <w:t xml:space="preserve">6. Freight rail industry backdrop.</w:t>
      </w:r>
      <w:r>
        <w:t xml:space="preserve"> </w:t>
      </w:r>
      <w:r>
        <w:t xml:space="preserve">External data is constructive: North American carload and intermodal traffic for the first 26 weeks of 2026 was up 2.9% from the prior-year period, with the U.S., Canada and Mexico all experiencing gains, per AAR data covering nine reporting railroads. Freight rail traffic continued to strengthen through Q2 2026, with six consecutive months of carload growth and five months of intermodal gains suggesting freight demand entering the second half with increasing momentum — a supportive backdrop for Wabtec's installed-base/aftermarket exposure, even as coal and grain carloads remain soft and new railcar orders lag.</w:t>
      </w:r>
    </w:p>
    <w:p>
      <w:r>
        <w:pict>
          <v:rect style="width:0;height:1.5pt" o:hralign="center" o:hrstd="t" o:hr="t"/>
        </w:pict>
      </w:r>
    </w:p>
    <w:bookmarkEnd w:id="12"/>
    <w:bookmarkStart w:id="13" w:name="valuation--sentiment-snapshot"/>
    <w:p>
      <w:pPr>
        <w:pStyle w:val="Heading2"/>
      </w:pPr>
      <w:r>
        <w:t xml:space="preserve">Valuation &amp; Sentiment Snapshot</w:t>
      </w:r>
    </w:p>
    <w:p>
      <w:pPr>
        <w:pStyle w:val="Compact"/>
        <w:numPr>
          <w:ilvl w:val="0"/>
          <w:numId w:val="1002"/>
        </w:numPr>
      </w:pPr>
      <w:r>
        <w:t xml:space="preserve">Market cap: ~$44-45B; P/E in the mid-30s to high-30s (rich versus historical norms, reflecting confidence in the growth/margin trajectory).</w:t>
      </w:r>
    </w:p>
    <w:p>
      <w:pPr>
        <w:pStyle w:val="Compact"/>
        <w:numPr>
          <w:ilvl w:val="0"/>
          <w:numId w:val="1002"/>
        </w:numPr>
      </w:pPr>
      <w:r>
        <w:t xml:space="preserve">FY2026 consensus EPS ~</w:t>
      </w:r>
      <m:oMath>
        <m:r>
          <m:t>11</m:t>
        </m:r>
        <m:r>
          <m:rPr>
            <m:sty m:val="p"/>
          </m:rPr>
          <m:t>(</m:t>
        </m:r>
        <m:r>
          <m:t>a</m:t>
        </m:r>
        <m:r>
          <m:t>b</m:t>
        </m:r>
        <m:r>
          <m:t>o</m:t>
        </m:r>
        <m:r>
          <m:t>v</m:t>
        </m:r>
        <m:r>
          <m:t>e</m:t>
        </m:r>
        <m:r>
          <m:t>t</m:t>
        </m:r>
        <m:r>
          <m:t>h</m:t>
        </m:r>
        <m:r>
          <m:t>e</m:t>
        </m:r>
        <m:r>
          <m:t>t</m:t>
        </m:r>
        <m:r>
          <m:t>o</m:t>
        </m:r>
        <m:r>
          <m:t>p</m:t>
        </m:r>
        <m:r>
          <m:t>e</m:t>
        </m:r>
        <m:r>
          <m:t>n</m:t>
        </m:r>
        <m:r>
          <m:t>d</m:t>
        </m:r>
        <m:r>
          <m:t>o</m:t>
        </m:r>
        <m:r>
          <m:t>f</m:t>
        </m:r>
        <m:r>
          <m:t>g</m:t>
        </m:r>
        <m:r>
          <m:t>u</m:t>
        </m:r>
        <m:r>
          <m:t>i</m:t>
        </m:r>
        <m:r>
          <m:t>d</m:t>
        </m:r>
        <m:r>
          <m:t>a</m:t>
        </m:r>
        <m:r>
          <m:t>n</m:t>
        </m:r>
        <m:r>
          <m:t>c</m:t>
        </m:r>
        <m:r>
          <m:t>e</m:t>
        </m:r>
        <m:r>
          <m:rPr>
            <m:sty m:val="p"/>
          </m:rPr>
          <m:t>)</m:t>
        </m:r>
        <m:r>
          <m:rPr>
            <m:sty m:val="p"/>
          </m:rPr>
          <m:t>,</m:t>
        </m:r>
        <m:r>
          <m:t>F</m:t>
        </m:r>
        <m:r>
          <m:t>Y</m:t>
        </m:r>
        <m:r>
          <m:t>2027</m:t>
        </m:r>
        <m:r>
          <m:t>c</m:t>
        </m:r>
        <m:r>
          <m:t>o</m:t>
        </m:r>
        <m:r>
          <m:t>n</m:t>
        </m:r>
        <m:r>
          <m:t>s</m:t>
        </m:r>
        <m:r>
          <m:t>e</m:t>
        </m:r>
        <m:r>
          <m:t>n</m:t>
        </m:r>
        <m:r>
          <m:t>s</m:t>
        </m:r>
        <m:r>
          <m:t>u</m:t>
        </m:r>
        <m:r>
          <m:t>s</m:t>
        </m:r>
        <m:r>
          <m:t> </m:t>
        </m:r>
      </m:oMath>
      <w:r>
        <w:t xml:space="preserve">12, implying continued double-digit EPS growth expectations beyond this year.</w:t>
      </w:r>
    </w:p>
    <w:p>
      <w:pPr>
        <w:pStyle w:val="Compact"/>
        <w:numPr>
          <w:ilvl w:val="0"/>
          <w:numId w:val="1002"/>
        </w:numPr>
      </w:pPr>
      <w:r>
        <w:t xml:space="preserve">Sell-side skew is bullish: analyst ratings cluster around Buy/Overweight (Stephens $320, JPMorgan $300, Citi $311, with Wells Fargo more cautious at Hold), and a median target north of current trading levels.</w:t>
      </w:r>
    </w:p>
    <w:p>
      <w:r>
        <w:pict>
          <v:rect style="width:0;height:1.5pt" o:hralign="center" o:hrstd="t" o:hr="t"/>
        </w:pict>
      </w:r>
    </w:p>
    <w:bookmarkEnd w:id="13"/>
    <w:bookmarkStart w:id="14" w:name="bottom-line"/>
    <w:p>
      <w:pPr>
        <w:pStyle w:val="Heading2"/>
      </w:pPr>
      <w:r>
        <w:t xml:space="preserve">Bottom Line</w:t>
      </w:r>
    </w:p>
    <w:p>
      <w:pPr>
        <w:pStyle w:val="FirstParagraph"/>
      </w:pPr>
      <w:r>
        <w:t xml:space="preserve">Wabtec heads into Q2 2026 earnings with strong momentum — record backlog, raised EPS guidance, better-than-planned M&amp;A integration, and a favorable freight-traffic backdrop — but also a history of missing Street revenue estimates even while beating on EPS. The key swing factors for tomorrow are: (1) whether margin performance holds up as tariff headwinds are supposed to plateau, (2) whether backlog strength starts translating into a full-year revenue guidance raise (still unchanged since Q1 despite record backlog), and (3) whether the EPS quality issue from Q1 — roughly half driven by FX/tax rather than operations — normalizes without derailing the growth narrative. Given elevated expectations (consensus EPS</w:t>
      </w:r>
      <w:r>
        <w:t xml:space="preserve"> </w:t>
      </w:r>
      <m:oMath>
        <m:r>
          <m:t>2.63</m:t>
        </m:r>
        <m:r>
          <m:rPr>
            <m:sty m:val="p"/>
          </m:rPr>
          <m:t>,</m:t>
        </m:r>
        <m:r>
          <m:t>r</m:t>
        </m:r>
        <m:r>
          <m:t>e</m:t>
        </m:r>
        <m:r>
          <m:t>v</m:t>
        </m:r>
        <m:r>
          <m:t>e</m:t>
        </m:r>
        <m:r>
          <m:t>n</m:t>
        </m:r>
        <m:r>
          <m:t>u</m:t>
        </m:r>
        <m:r>
          <m:t>e</m:t>
        </m:r>
        <m:r>
          <m:t> </m:t>
        </m:r>
      </m:oMath>
      <w:r>
        <w:t xml:space="preserve">3.07B) and a stock trading near highs on a premium multiple, the bar for a "clean beat and raise" is high, and any softness in organic growth, Services/modernization trends, or margin cadence could trigger outsized volatility.</w:t>
      </w:r>
    </w:p>
    <w:bookmarkEnd w:id="14"/>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2026-07-22T00:13:39Z</dcterms:created>
  <dcterms:modified xsi:type="dcterms:W3CDTF">2026-07-22T00:13:39Z</dcterms:modified>
</cp:coreProperties>
</file>

<file path=docProps/custom.xml><?xml version="1.0" encoding="utf-8"?>
<Properties xmlns="http://schemas.openxmlformats.org/officeDocument/2006/custom-properties" xmlns:vt="http://schemas.openxmlformats.org/officeDocument/2006/docPropsVTypes"/>
</file>