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0" w:name="wabtec-wab-2q26-earnings-preview"/>
    <w:p>
      <w:pPr>
        <w:pStyle w:val="Heading1"/>
      </w:pPr>
      <w:r>
        <w:t xml:space="preserve">Wabtec (WAB) 2Q26 Earnings Preview</w:t>
      </w:r>
    </w:p>
    <w:p>
      <w:pPr>
        <w:pStyle w:val="BlockText"/>
      </w:pPr>
      <w:r>
        <w:rPr>
          <w:b/>
          <w:bCs/>
        </w:rPr>
        <w:t xml:space="preserve">Timing note:</w:t>
      </w:r>
      <w:r>
        <w:t xml:space="preserve"> </w:t>
      </w:r>
      <w:r>
        <w:t xml:space="preserve">Wabtec is scheduled to report</w:t>
      </w:r>
      <w:r>
        <w:t xml:space="preserve"> </w:t>
      </w:r>
      <w:r>
        <w:rPr>
          <w:b/>
          <w:bCs/>
        </w:rPr>
        <w:t xml:space="preserve">before the market opens on Wednesday, July 22, 2026</w:t>
      </w:r>
      <w:r>
        <w:t xml:space="preserve">, followed by its conference call at</w:t>
      </w:r>
      <w:r>
        <w:t xml:space="preserve"> </w:t>
      </w:r>
      <w:r>
        <w:rPr>
          <w:b/>
          <w:bCs/>
        </w:rPr>
        <w:t xml:space="preserve">8:30 a.m. ET</w:t>
      </w:r>
      <w:r>
        <w:t xml:space="preserve">. July 22 is today—not tomorrow—so this preview uses information available through the</w:t>
      </w:r>
      <w:r>
        <w:t xml:space="preserve"> </w:t>
      </w:r>
      <w:r>
        <w:rPr>
          <w:b/>
          <w:bCs/>
        </w:rPr>
        <w:t xml:space="preserve">July 21 close</w:t>
      </w:r>
      <w:r>
        <w:t xml:space="preserve">. (</w:t>
      </w:r>
      <w:hyperlink r:id="rId9">
        <w:r>
          <w:rPr>
            <w:rStyle w:val="Hyperlink"/>
          </w:rPr>
          <w:t xml:space="preserve">wabteccorp.com</w:t>
        </w:r>
      </w:hyperlink>
      <w:r>
        <w:t xml:space="preserve">)</w:t>
      </w:r>
    </w:p>
    <w:bookmarkStart w:id="11" w:name="the-setup"/>
    <w:p>
      <w:pPr>
        <w:pStyle w:val="Heading2"/>
      </w:pPr>
      <w:r>
        <w:t xml:space="preserve">The setup</w:t>
      </w:r>
    </w:p>
    <w:p>
      <w:pPr>
        <w:pStyle w:val="FirstParagraph"/>
      </w:pPr>
      <w:r>
        <w:t xml:space="preserve">Wabtec enters the report with strong backlog visibility, double-digit headline growth and improving profitability—but also a relatively demanding valuation and elevated expectations.</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Metric</w:t>
            </w:r>
          </w:p>
        </w:tc>
        <w:tc>
          <w:tcPr/>
          <w:p>
            <w:pPr>
              <w:pStyle w:val="Compact"/>
              <w:jc w:val="right"/>
            </w:pPr>
            <w:r>
              <w:t xml:space="preserve">2Q26 expectation</w:t>
            </w:r>
          </w:p>
        </w:tc>
        <w:tc>
          <w:tcPr/>
          <w:p>
            <w:pPr>
              <w:pStyle w:val="Compact"/>
              <w:jc w:val="right"/>
            </w:pPr>
            <w:r>
              <w:t xml:space="preserve">2Q25 actual</w:t>
            </w:r>
          </w:p>
        </w:tc>
        <w:tc>
          <w:tcPr/>
          <w:p>
            <w:pPr>
              <w:pStyle w:val="Compact"/>
              <w:jc w:val="right"/>
            </w:pPr>
            <w:r>
              <w:t xml:space="preserve">Implied growth</w:t>
            </w:r>
          </w:p>
        </w:tc>
      </w:tr>
      <w:tr>
        <w:tc>
          <w:tcPr/>
          <w:p>
            <w:pPr>
              <w:pStyle w:val="Compact"/>
            </w:pPr>
            <w:r>
              <w:t xml:space="preserve">Revenue</w:t>
            </w:r>
          </w:p>
        </w:tc>
        <w:tc>
          <w:tcPr/>
          <w:p>
            <w:pPr>
              <w:pStyle w:val="Compact"/>
              <w:jc w:val="right"/>
            </w:pPr>
            <w:r>
              <w:t xml:space="preserve">Approximately</w:t>
            </w:r>
            <w:r>
              <w:t xml:space="preserve"> </w:t>
            </w:r>
            <w:r>
              <w:rPr>
                <w:b/>
                <w:bCs/>
              </w:rPr>
              <w:t xml:space="preserve">$3.08B</w:t>
            </w:r>
          </w:p>
        </w:tc>
        <w:tc>
          <w:tcPr/>
          <w:p>
            <w:pPr>
              <w:pStyle w:val="Compact"/>
              <w:jc w:val="right"/>
            </w:pPr>
            <w:r>
              <w:t xml:space="preserve">$2.706B</w:t>
            </w:r>
          </w:p>
        </w:tc>
        <w:tc>
          <w:tcPr/>
          <w:p>
            <w:pPr>
              <w:pStyle w:val="Compact"/>
              <w:jc w:val="right"/>
            </w:pPr>
            <w:r>
              <w:t xml:space="preserve">~14%</w:t>
            </w:r>
          </w:p>
        </w:tc>
      </w:tr>
      <w:tr>
        <w:tc>
          <w:tcPr/>
          <w:p>
            <w:pPr>
              <w:pStyle w:val="Compact"/>
            </w:pPr>
            <w:r>
              <w:t xml:space="preserve">Adjusted EPS</w:t>
            </w:r>
          </w:p>
        </w:tc>
        <w:tc>
          <w:tcPr/>
          <w:p>
            <w:pPr>
              <w:pStyle w:val="Compact"/>
              <w:jc w:val="right"/>
            </w:pPr>
            <w:r>
              <w:t xml:space="preserve">Approximately</w:t>
            </w:r>
            <w:r>
              <w:t xml:space="preserve"> </w:t>
            </w:r>
            <m:oMath>
              <m:r>
                <m:t>2.62</m:t>
              </m:r>
              <m:r>
                <m:rPr>
                  <m:sty m:val="p"/>
                </m:rPr>
                <m:t>–</m:t>
              </m:r>
            </m:oMath>
            <w:r>
              <w:rPr>
                <w:b/>
                <w:bCs/>
              </w:rPr>
              <w:t xml:space="preserve">2.63</w:t>
            </w:r>
          </w:p>
        </w:tc>
        <w:tc>
          <w:tcPr/>
          <w:p>
            <w:pPr>
              <w:pStyle w:val="Compact"/>
              <w:jc w:val="right"/>
            </w:pPr>
            <w:r>
              <w:t xml:space="preserve">$2.27</w:t>
            </w:r>
          </w:p>
        </w:tc>
        <w:tc>
          <w:tcPr/>
          <w:p>
            <w:pPr>
              <w:pStyle w:val="Compact"/>
              <w:jc w:val="right"/>
            </w:pPr>
            <w:r>
              <w:t xml:space="preserve">~16%</w:t>
            </w:r>
          </w:p>
        </w:tc>
      </w:tr>
      <w:tr>
        <w:tc>
          <w:tcPr/>
          <w:p>
            <w:pPr>
              <w:pStyle w:val="Compact"/>
            </w:pPr>
            <w:r>
              <w:t xml:space="preserve">Adjusted operating margin</w:t>
            </w:r>
          </w:p>
        </w:tc>
        <w:tc>
          <w:tcPr/>
          <w:p>
            <w:pPr>
              <w:pStyle w:val="Compact"/>
              <w:jc w:val="right"/>
            </w:pPr>
            <w:r>
              <w:t xml:space="preserve">Key watch: modest expansion</w:t>
            </w:r>
          </w:p>
        </w:tc>
        <w:tc>
          <w:tcPr/>
          <w:p>
            <w:pPr>
              <w:pStyle w:val="Compact"/>
              <w:jc w:val="right"/>
            </w:pPr>
            <w:r>
              <w:t xml:space="preserve">21.1%</w:t>
            </w:r>
          </w:p>
        </w:tc>
        <w:tc>
          <w:tcPr/>
          <w:p>
            <w:pPr>
              <w:pStyle w:val="Compact"/>
              <w:jc w:val="right"/>
            </w:pPr>
            <w:r>
              <w:t xml:space="preserve">—</w:t>
            </w:r>
          </w:p>
        </w:tc>
      </w:tr>
    </w:tbl>
    <w:p>
      <w:pPr>
        <w:pStyle w:val="BodyText"/>
      </w:pPr>
      <w:r>
        <w:t xml:space="preserve">Consensus varies modestly by provider; FactSet-based estimates indicate roughly</w:t>
      </w:r>
      <w:r>
        <w:t xml:space="preserve"> </w:t>
      </w:r>
      <w:r>
        <w:rPr>
          <w:b/>
          <w:bCs/>
        </w:rPr>
        <w:t xml:space="preserve">$3.08 billion of revenue and $2.63 of EPS</w:t>
      </w:r>
      <w:r>
        <w:t xml:space="preserve">, while other aggregators are clustered around the same range. (</w:t>
      </w:r>
      <w:hyperlink r:id="rId10">
        <w:r>
          <w:rPr>
            <w:rStyle w:val="Hyperlink"/>
          </w:rPr>
          <w:t xml:space="preserve">finanzen.net</w:t>
        </w:r>
      </w:hyperlink>
      <w:r>
        <w:t xml:space="preserve">)</w:t>
      </w:r>
    </w:p>
    <w:p>
      <w:pPr>
        <w:pStyle w:val="BodyText"/>
      </w:pPr>
      <w:r>
        <w:t xml:space="preserve">At the July 21 close of $263.57, WAB had risen approximately</w:t>
      </w:r>
      <w:r>
        <w:t xml:space="preserve"> </w:t>
      </w:r>
      <w:r>
        <w:rPr>
          <w:b/>
          <w:bCs/>
        </w:rPr>
        <w:t xml:space="preserve">22% year to date</w:t>
      </w:r>
      <w:r>
        <w:t xml:space="preserve">, versus roughly</w:t>
      </w:r>
      <w:r>
        <w:t xml:space="preserve"> </w:t>
      </w:r>
      <w:r>
        <w:rPr>
          <w:b/>
          <w:bCs/>
        </w:rPr>
        <w:t xml:space="preserve">10% for the S&amp;P 500 ETF</w:t>
      </w:r>
      <w:r>
        <w:t xml:space="preserve">, and traded at about</w:t>
      </w:r>
      <w:r>
        <w:t xml:space="preserve"> </w:t>
      </w:r>
      <w:r>
        <w:rPr>
          <w:b/>
          <w:bCs/>
        </w:rPr>
        <w:t xml:space="preserve">25 times</w:t>
      </w:r>
      <w:r>
        <w:t xml:space="preserve"> </w:t>
      </w:r>
      <w:r>
        <w:t xml:space="preserve">the roughly $10.6 full-year EPS consensus. That leaves less room for an ordinary “meet and reiterate” report.</w:t>
      </w:r>
    </w:p>
    <w:bookmarkEnd w:id="11"/>
    <w:bookmarkStart w:id="13" w:name="Xa0c94c2a15cde4d22554e476ba0b26192b8621a"/>
    <w:p>
      <w:pPr>
        <w:pStyle w:val="Heading2"/>
      </w:pPr>
      <w:r>
        <w:t xml:space="preserve">What management already told investors to expect</w:t>
      </w:r>
    </w:p>
    <w:p>
      <w:pPr>
        <w:pStyle w:val="FirstParagraph"/>
      </w:pPr>
      <w:r>
        <w:t xml:space="preserve">The first-quarter call provided unusually useful guidance on the second-quarter cadence:</w:t>
      </w:r>
    </w:p>
    <w:p>
      <w:pPr>
        <w:pStyle w:val="Compact"/>
        <w:numPr>
          <w:ilvl w:val="0"/>
          <w:numId w:val="1001"/>
        </w:numPr>
      </w:pPr>
      <w:r>
        <w:t xml:space="preserve">Revenue growth should look broadly similar to the first quarter.</w:t>
      </w:r>
    </w:p>
    <w:p>
      <w:pPr>
        <w:pStyle w:val="Compact"/>
        <w:numPr>
          <w:ilvl w:val="0"/>
          <w:numId w:val="1001"/>
        </w:numPr>
      </w:pPr>
      <w:r>
        <w:t xml:space="preserve">Operating-margin improvement should remain modest.</w:t>
      </w:r>
    </w:p>
    <w:p>
      <w:pPr>
        <w:pStyle w:val="Compact"/>
        <w:numPr>
          <w:ilvl w:val="0"/>
          <w:numId w:val="1001"/>
        </w:numPr>
      </w:pPr>
      <w:r>
        <w:t xml:space="preserve">Absolute adjusted EPS should be in the same general range as the first quarter, but without a repeat of its nonoperational benefits.</w:t>
      </w:r>
    </w:p>
    <w:p>
      <w:pPr>
        <w:pStyle w:val="Compact"/>
        <w:numPr>
          <w:ilvl w:val="0"/>
          <w:numId w:val="1001"/>
        </w:numPr>
      </w:pPr>
      <w:r>
        <w:t xml:space="preserve">Equipment should again grow strongly, while Services revenue should decline year over year because of fewer locomotive-modernization deliveries.</w:t>
      </w:r>
    </w:p>
    <w:p>
      <w:pPr>
        <w:pStyle w:val="Compact"/>
        <w:numPr>
          <w:ilvl w:val="0"/>
          <w:numId w:val="1001"/>
        </w:numPr>
      </w:pPr>
      <w:r>
        <w:t xml:space="preserve">Tariffs should remain a first-half margin headwind, although the absolute cost was expected to begin plateauing during 2Q.</w:t>
      </w:r>
    </w:p>
    <w:p>
      <w:pPr>
        <w:pStyle w:val="FirstParagraph"/>
      </w:pPr>
      <w:r>
        <w:t xml:space="preserve">Those comments are broadly consistent with consensus. First-quarter revenue increased 13% to $2.95 billion and adjusted EPS was $2.71, while adjusted operating margin expanded only 20 basis points to 21.9%. (</w:t>
      </w:r>
      <w:hyperlink r:id="rId12">
        <w:r>
          <w:rPr>
            <w:rStyle w:val="Hyperlink"/>
          </w:rPr>
          <w:t xml:space="preserve">wabteccorp.com</w:t>
        </w:r>
      </w:hyperlink>
      <w:r>
        <w:t xml:space="preserve">)</w:t>
      </w:r>
    </w:p>
    <w:bookmarkEnd w:id="13"/>
    <w:bookmarkStart w:id="21" w:name="the-six-issues-that-matter-most"/>
    <w:p>
      <w:pPr>
        <w:pStyle w:val="Heading2"/>
      </w:pPr>
      <w:r>
        <w:t xml:space="preserve">The six issues that matter most</w:t>
      </w:r>
    </w:p>
    <w:bookmarkStart w:id="14" w:name="X063a4e46e1086600dcb9fe62cd8edde99cde611"/>
    <w:p>
      <w:pPr>
        <w:pStyle w:val="Heading3"/>
      </w:pPr>
      <w:r>
        <w:t xml:space="preserve">1. Organic growth versus acquisition-driven growth</w:t>
      </w:r>
    </w:p>
    <w:p>
      <w:pPr>
        <w:pStyle w:val="FirstParagraph"/>
      </w:pPr>
      <w:r>
        <w:t xml:space="preserve">The headline growth rate will likely be strong, but investors should separate:</w:t>
      </w:r>
    </w:p>
    <w:p>
      <w:pPr>
        <w:pStyle w:val="Compact"/>
        <w:numPr>
          <w:ilvl w:val="0"/>
          <w:numId w:val="1002"/>
        </w:numPr>
      </w:pPr>
      <w:r>
        <w:t xml:space="preserve">Organic growth</w:t>
      </w:r>
    </w:p>
    <w:p>
      <w:pPr>
        <w:pStyle w:val="Compact"/>
        <w:numPr>
          <w:ilvl w:val="0"/>
          <w:numId w:val="1002"/>
        </w:numPr>
      </w:pPr>
      <w:r>
        <w:t xml:space="preserve">Acquisition contributions</w:t>
      </w:r>
    </w:p>
    <w:p>
      <w:pPr>
        <w:pStyle w:val="Compact"/>
        <w:numPr>
          <w:ilvl w:val="0"/>
          <w:numId w:val="1002"/>
        </w:numPr>
      </w:pPr>
      <w:r>
        <w:t xml:space="preserve">Foreign-exchange effects</w:t>
      </w:r>
    </w:p>
    <w:p>
      <w:pPr>
        <w:pStyle w:val="Compact"/>
        <w:numPr>
          <w:ilvl w:val="0"/>
          <w:numId w:val="1002"/>
        </w:numPr>
      </w:pPr>
      <w:r>
        <w:t xml:space="preserve">Portfolio exits</w:t>
      </w:r>
    </w:p>
    <w:p>
      <w:pPr>
        <w:pStyle w:val="FirstParagraph"/>
      </w:pPr>
      <w:r>
        <w:t xml:space="preserve">In 1Q, acquisitions contributed $225 million of the $340 million year-over-year sales increase, while foreign exchange contributed another $68 million. Reported organic growth was only $60 million, although management said it was in line with expectations after adjusting for the exit of a low-margin Digital project.</w:t>
      </w:r>
    </w:p>
    <w:p>
      <w:pPr>
        <w:pStyle w:val="BodyText"/>
      </w:pPr>
      <w:r>
        <w:t xml:space="preserve">Second-quarter results will include fuller contributions from Inspection Technologies, Frauscher and Dellner. The key question is therefore not whether Wabtec delivers double-digit reported growth—it probably will—but whether</w:t>
      </w:r>
      <w:r>
        <w:t xml:space="preserve"> </w:t>
      </w:r>
      <w:r>
        <w:rPr>
          <w:b/>
          <w:bCs/>
        </w:rPr>
        <w:t xml:space="preserve">underlying organic growth is progressing toward management’s mid-single-digit full-year objective</w:t>
      </w:r>
      <w:r>
        <w:t xml:space="preserve">.</w:t>
      </w:r>
    </w:p>
    <w:p>
      <w:pPr>
        <w:pStyle w:val="BodyText"/>
      </w:pPr>
      <w:r>
        <w:t xml:space="preserve">A favorable report would show:</w:t>
      </w:r>
    </w:p>
    <w:p>
      <w:pPr>
        <w:pStyle w:val="Compact"/>
        <w:numPr>
          <w:ilvl w:val="0"/>
          <w:numId w:val="1003"/>
        </w:numPr>
      </w:pPr>
      <w:r>
        <w:t xml:space="preserve">Mid-single-digit or better organic growth</w:t>
      </w:r>
    </w:p>
    <w:p>
      <w:pPr>
        <w:pStyle w:val="Compact"/>
        <w:numPr>
          <w:ilvl w:val="0"/>
          <w:numId w:val="1003"/>
        </w:numPr>
      </w:pPr>
      <w:r>
        <w:t xml:space="preserve">Strength across both Freight and Transit</w:t>
      </w:r>
    </w:p>
    <w:p>
      <w:pPr>
        <w:pStyle w:val="Compact"/>
        <w:numPr>
          <w:ilvl w:val="0"/>
          <w:numId w:val="1003"/>
        </w:numPr>
      </w:pPr>
      <w:r>
        <w:t xml:space="preserve">No deterioration in project timing or customer demand</w:t>
      </w:r>
    </w:p>
    <w:p>
      <w:pPr>
        <w:pStyle w:val="Compact"/>
        <w:numPr>
          <w:ilvl w:val="0"/>
          <w:numId w:val="1003"/>
        </w:numPr>
      </w:pPr>
      <w:r>
        <w:t xml:space="preserve">Continued confidence in the full-year organic-growth target</w:t>
      </w:r>
    </w:p>
    <w:bookmarkEnd w:id="14"/>
    <w:bookmarkStart w:id="16" w:name="Xb1fb914633e3af8f2b810146d7f6a37fbde5cfe"/>
    <w:p>
      <w:pPr>
        <w:pStyle w:val="Heading3"/>
      </w:pPr>
      <w:r>
        <w:t xml:space="preserve">2. Margin execution under peak tariff pressure</w:t>
      </w:r>
    </w:p>
    <w:p>
      <w:pPr>
        <w:pStyle w:val="FirstParagraph"/>
      </w:pPr>
      <w:r>
        <w:t xml:space="preserve">Margin quality may be the most important operating metric.</w:t>
      </w:r>
    </w:p>
    <w:p>
      <w:pPr>
        <w:pStyle w:val="BodyText"/>
      </w:pPr>
      <w:r>
        <w:t xml:space="preserve">Wabtec entered 2026 expecting tariffs, metals inflation, electronics costs and transportation expenses to pressure first-half profitability. Its offsets include contractual price escalation, sourcing actions, productivity, Integration 3.0 savings and portfolio optimization.</w:t>
      </w:r>
    </w:p>
    <w:p>
      <w:pPr>
        <w:pStyle w:val="BodyText"/>
      </w:pPr>
      <w:r>
        <w:t xml:space="preserve">The 1Q result was encouraging: adjusted gross margin expanded 230 basis points, although acquisition-related SG&amp;A and engineering spending limited adjusted operating-margin expansion to 20 basis points. Management’s full-year outlook still calls for adjusted operating margin to increase year over year. (</w:t>
      </w:r>
      <w:hyperlink r:id="rId15">
        <w:r>
          <w:rPr>
            <w:rStyle w:val="Hyperlink"/>
          </w:rPr>
          <w:t xml:space="preserve">wabteccorp.com</w:t>
        </w:r>
      </w:hyperlink>
      <w:r>
        <w:t xml:space="preserve">)</w:t>
      </w:r>
    </w:p>
    <w:p>
      <w:pPr>
        <w:pStyle w:val="BodyText"/>
      </w:pPr>
      <w:r>
        <w:t xml:space="preserve">For 2Q, a consolidated adjusted operating margin around or above the prior-year</w:t>
      </w:r>
      <w:r>
        <w:t xml:space="preserve"> </w:t>
      </w:r>
      <w:r>
        <w:rPr>
          <w:b/>
          <w:bCs/>
        </w:rPr>
        <w:t xml:space="preserve">21.1%</w:t>
      </w:r>
      <w:r>
        <w:t xml:space="preserve"> </w:t>
      </w:r>
      <w:r>
        <w:t xml:space="preserve">is necessary. An outcome around</w:t>
      </w:r>
      <w:r>
        <w:t xml:space="preserve"> </w:t>
      </w:r>
      <w:r>
        <w:rPr>
          <w:b/>
          <w:bCs/>
        </w:rPr>
        <w:t xml:space="preserve">21.3% or better</w:t>
      </w:r>
      <w:r>
        <w:t xml:space="preserve"> </w:t>
      </w:r>
      <w:r>
        <w:t xml:space="preserve">would be consistent with management’s suggestion that margin improvement would resemble 1Q.</w:t>
      </w:r>
    </w:p>
    <w:p>
      <w:pPr>
        <w:pStyle w:val="BodyText"/>
      </w:pPr>
      <w:r>
        <w:t xml:space="preserve">The call commentary may matter more than the reported number:</w:t>
      </w:r>
    </w:p>
    <w:p>
      <w:pPr>
        <w:pStyle w:val="Compact"/>
        <w:numPr>
          <w:ilvl w:val="0"/>
          <w:numId w:val="1004"/>
        </w:numPr>
      </w:pPr>
      <w:r>
        <w:t xml:space="preserve">Have tariff costs plateaued as expected?</w:t>
      </w:r>
    </w:p>
    <w:p>
      <w:pPr>
        <w:pStyle w:val="Compact"/>
        <w:numPr>
          <w:ilvl w:val="0"/>
          <w:numId w:val="1004"/>
        </w:numPr>
      </w:pPr>
      <w:r>
        <w:t xml:space="preserve">Are pricing and sourcing actions recovering the gross impact?</w:t>
      </w:r>
    </w:p>
    <w:p>
      <w:pPr>
        <w:pStyle w:val="Compact"/>
        <w:numPr>
          <w:ilvl w:val="0"/>
          <w:numId w:val="1004"/>
        </w:numPr>
      </w:pPr>
      <w:r>
        <w:t xml:space="preserve">Are copper, aluminum, steel, silver or electronics costs worsening?</w:t>
      </w:r>
    </w:p>
    <w:p>
      <w:pPr>
        <w:pStyle w:val="Compact"/>
        <w:numPr>
          <w:ilvl w:val="0"/>
          <w:numId w:val="1004"/>
        </w:numPr>
      </w:pPr>
      <w:r>
        <w:t xml:space="preserve">Does management still expect easier year-over-year tariff comparisons in the second half?</w:t>
      </w:r>
    </w:p>
    <w:bookmarkEnd w:id="16"/>
    <w:bookmarkStart w:id="17" w:name="X45562241c59f06da7165a5b0a554c24ccb36f34"/>
    <w:p>
      <w:pPr>
        <w:pStyle w:val="Heading3"/>
      </w:pPr>
      <w:r>
        <w:t xml:space="preserve">3. Backlog sustainability</w:t>
      </w:r>
    </w:p>
    <w:p>
      <w:pPr>
        <w:pStyle w:val="FirstParagraph"/>
      </w:pPr>
      <w:r>
        <w:t xml:space="preserve">Backlog is central to the Wabtec thesis.</w:t>
      </w:r>
    </w:p>
    <w:p>
      <w:pPr>
        <w:pStyle w:val="BodyText"/>
      </w:pPr>
      <w:r>
        <w:t xml:space="preserve">At March 31:</w:t>
      </w:r>
    </w:p>
    <w:p>
      <w:pPr>
        <w:pStyle w:val="Compact"/>
        <w:numPr>
          <w:ilvl w:val="0"/>
          <w:numId w:val="1005"/>
        </w:numPr>
      </w:pPr>
      <w:r>
        <w:t xml:space="preserve">Twelve-month backlog was</w:t>
      </w:r>
      <w:r>
        <w:t xml:space="preserve"> </w:t>
      </w:r>
      <w:r>
        <w:rPr>
          <w:b/>
          <w:bCs/>
        </w:rPr>
        <w:t xml:space="preserve">$9.25 billion</w:t>
      </w:r>
      <w:r>
        <w:t xml:space="preserve">, up 12.8%.</w:t>
      </w:r>
    </w:p>
    <w:p>
      <w:pPr>
        <w:pStyle w:val="Compact"/>
        <w:numPr>
          <w:ilvl w:val="0"/>
          <w:numId w:val="1005"/>
        </w:numPr>
      </w:pPr>
      <w:r>
        <w:t xml:space="preserve">Total backlog was</w:t>
      </w:r>
      <w:r>
        <w:t xml:space="preserve"> </w:t>
      </w:r>
      <w:r>
        <w:rPr>
          <w:b/>
          <w:bCs/>
        </w:rPr>
        <w:t xml:space="preserve">$30.80 billion</w:t>
      </w:r>
      <w:r>
        <w:t xml:space="preserve">, up 38.1%.</w:t>
      </w:r>
    </w:p>
    <w:p>
      <w:pPr>
        <w:pStyle w:val="Compact"/>
        <w:numPr>
          <w:ilvl w:val="0"/>
          <w:numId w:val="1005"/>
        </w:numPr>
      </w:pPr>
      <w:r>
        <w:t xml:space="preserve">Freight total backlog was $25.18 billion.</w:t>
      </w:r>
    </w:p>
    <w:p>
      <w:pPr>
        <w:pStyle w:val="Compact"/>
        <w:numPr>
          <w:ilvl w:val="0"/>
          <w:numId w:val="1005"/>
        </w:numPr>
      </w:pPr>
      <w:r>
        <w:t xml:space="preserve">Transit total backlog was $5.63 billion.</w:t>
      </w:r>
    </w:p>
    <w:p>
      <w:pPr>
        <w:pStyle w:val="FirstParagraph"/>
      </w:pPr>
      <w:r>
        <w:t xml:space="preserve">Dellner accounted for approximately three percentage points of enterprise twelve-month backlog growth and roughly 3.5 points of total-backlog growth. Even excluding Dellner and currency, management characterized the underlying backlog increase as strong. Wabtec’s official first-quarter release reported total backlog up $8.5 billion year over year, or 36.2% excluding currency. (</w:t>
      </w:r>
      <w:hyperlink r:id="rId12">
        <w:r>
          <w:rPr>
            <w:rStyle w:val="Hyperlink"/>
          </w:rPr>
          <w:t xml:space="preserve">wabteccorp.com</w:t>
        </w:r>
      </w:hyperlink>
      <w:r>
        <w:t xml:space="preserve">)</w:t>
      </w:r>
    </w:p>
    <w:p>
      <w:pPr>
        <w:pStyle w:val="BodyText"/>
      </w:pPr>
      <w:r>
        <w:t xml:space="preserve">Investors should watch both the year-over-year and sequential figures. Total backlog rose from $27.41 billion at year-end to $30.80 billion in 1Q, helped by a multibillion-dollar mining order. Some sequential normalization would not necessarily be negative after that large order, but a material decline in twelve-month backlog would raise questions about the durability of 2027 growth.</w:t>
      </w:r>
    </w:p>
    <w:p>
      <w:pPr>
        <w:pStyle w:val="BodyText"/>
      </w:pPr>
      <w:r>
        <w:t xml:space="preserve">The best outcome would be:</w:t>
      </w:r>
    </w:p>
    <w:p>
      <w:pPr>
        <w:pStyle w:val="Compact"/>
        <w:numPr>
          <w:ilvl w:val="0"/>
          <w:numId w:val="1006"/>
        </w:numPr>
      </w:pPr>
      <w:r>
        <w:t xml:space="preserve">Twelve-month backlog holding near or above $9.25 billion</w:t>
      </w:r>
    </w:p>
    <w:p>
      <w:pPr>
        <w:pStyle w:val="Compact"/>
        <w:numPr>
          <w:ilvl w:val="0"/>
          <w:numId w:val="1006"/>
        </w:numPr>
      </w:pPr>
      <w:r>
        <w:t xml:space="preserve">Continued international Freight orders</w:t>
      </w:r>
    </w:p>
    <w:p>
      <w:pPr>
        <w:pStyle w:val="Compact"/>
        <w:numPr>
          <w:ilvl w:val="0"/>
          <w:numId w:val="1006"/>
        </w:numPr>
      </w:pPr>
      <w:r>
        <w:t xml:space="preserve">Transit orders supporting Dellner and the broader systems portfolio</w:t>
      </w:r>
    </w:p>
    <w:p>
      <w:pPr>
        <w:pStyle w:val="Compact"/>
        <w:numPr>
          <w:ilvl w:val="0"/>
          <w:numId w:val="1006"/>
        </w:numPr>
      </w:pPr>
      <w:r>
        <w:t xml:space="preserve">Confirmation that newer backlog carries better profitability than the legacy book</w:t>
      </w:r>
    </w:p>
    <w:bookmarkEnd w:id="17"/>
    <w:bookmarkStart w:id="18" w:name="X01e30966c2e3117530cf8d2a1fed0f06ed2d2b5"/>
    <w:p>
      <w:pPr>
        <w:pStyle w:val="Heading3"/>
      </w:pPr>
      <w:r>
        <w:t xml:space="preserve">4. Freight mix: Equipment strength versus Services weakness</w:t>
      </w:r>
    </w:p>
    <w:p>
      <w:pPr>
        <w:pStyle w:val="FirstParagraph"/>
      </w:pPr>
      <w:r>
        <w:t xml:space="preserve">Investors should avoid interpreting individual Freight product lines in isolation.</w:t>
      </w:r>
    </w:p>
    <w:p>
      <w:pPr>
        <w:pStyle w:val="BodyText"/>
      </w:pPr>
      <w:r>
        <w:t xml:space="preserve">In 1Q:</w:t>
      </w:r>
    </w:p>
    <w:p>
      <w:pPr>
        <w:pStyle w:val="Compact"/>
        <w:numPr>
          <w:ilvl w:val="0"/>
          <w:numId w:val="1007"/>
        </w:numPr>
      </w:pPr>
      <w:r>
        <w:t xml:space="preserve">Equipment revenue increased</w:t>
      </w:r>
      <w:r>
        <w:t xml:space="preserve"> </w:t>
      </w:r>
      <w:r>
        <w:rPr>
          <w:b/>
          <w:bCs/>
        </w:rPr>
        <w:t xml:space="preserve">52.5%</w:t>
      </w:r>
      <w:r>
        <w:t xml:space="preserve">.</w:t>
      </w:r>
    </w:p>
    <w:p>
      <w:pPr>
        <w:pStyle w:val="Compact"/>
        <w:numPr>
          <w:ilvl w:val="0"/>
          <w:numId w:val="1007"/>
        </w:numPr>
      </w:pPr>
      <w:r>
        <w:t xml:space="preserve">Services declined</w:t>
      </w:r>
      <w:r>
        <w:t xml:space="preserve"> </w:t>
      </w:r>
      <w:r>
        <w:rPr>
          <w:b/>
          <w:bCs/>
        </w:rPr>
        <w:t xml:space="preserve">17.3%</w:t>
      </w:r>
      <w:r>
        <w:t xml:space="preserve">.</w:t>
      </w:r>
    </w:p>
    <w:p>
      <w:pPr>
        <w:pStyle w:val="Compact"/>
        <w:numPr>
          <w:ilvl w:val="0"/>
          <w:numId w:val="1007"/>
        </w:numPr>
      </w:pPr>
      <w:r>
        <w:t xml:space="preserve">Components declined</w:t>
      </w:r>
      <w:r>
        <w:t xml:space="preserve"> </w:t>
      </w:r>
      <w:r>
        <w:rPr>
          <w:b/>
          <w:bCs/>
        </w:rPr>
        <w:t xml:space="preserve">6.3%</w:t>
      </w:r>
      <w:r>
        <w:t xml:space="preserve">.</w:t>
      </w:r>
    </w:p>
    <w:p>
      <w:pPr>
        <w:pStyle w:val="Compact"/>
        <w:numPr>
          <w:ilvl w:val="0"/>
          <w:numId w:val="1007"/>
        </w:numPr>
      </w:pPr>
      <w:r>
        <w:t xml:space="preserve">Digital Intelligence increased</w:t>
      </w:r>
      <w:r>
        <w:t xml:space="preserve"> </w:t>
      </w:r>
      <w:r>
        <w:rPr>
          <w:b/>
          <w:bCs/>
        </w:rPr>
        <w:t xml:space="preserve">75.7%</w:t>
      </w:r>
      <w:r>
        <w:t xml:space="preserve">.</w:t>
      </w:r>
    </w:p>
    <w:p>
      <w:pPr>
        <w:pStyle w:val="FirstParagraph"/>
      </w:pPr>
      <w:r>
        <w:t xml:space="preserve">The Equipment/Services divergence reflects locomotive production scheduling: new locomotives are classified as Equipment, while modernizations flow through Services. Management expects strong Equipment growth and another year-over-year Services decline in 2Q, with North American modernization deliveries down significantly.</w:t>
      </w:r>
    </w:p>
    <w:p>
      <w:pPr>
        <w:pStyle w:val="BodyText"/>
      </w:pPr>
      <w:r>
        <w:t xml:space="preserve">The questions are:</w:t>
      </w:r>
    </w:p>
    <w:p>
      <w:pPr>
        <w:pStyle w:val="Compact"/>
        <w:numPr>
          <w:ilvl w:val="0"/>
          <w:numId w:val="1008"/>
        </w:numPr>
      </w:pPr>
      <w:r>
        <w:t xml:space="preserve">Are combined locomotive and modernization deliveries tracking the full-year plan?</w:t>
      </w:r>
    </w:p>
    <w:p>
      <w:pPr>
        <w:pStyle w:val="Compact"/>
        <w:numPr>
          <w:ilvl w:val="0"/>
          <w:numId w:val="1008"/>
        </w:numPr>
      </w:pPr>
      <w:r>
        <w:t xml:space="preserve">Is the Services decline simply timing and mix, rather than lost demand?</w:t>
      </w:r>
    </w:p>
    <w:p>
      <w:pPr>
        <w:pStyle w:val="Compact"/>
        <w:numPr>
          <w:ilvl w:val="0"/>
          <w:numId w:val="1008"/>
        </w:numPr>
      </w:pPr>
      <w:r>
        <w:t xml:space="preserve">Are core parts and aftermarket sales growing?</w:t>
      </w:r>
    </w:p>
    <w:p>
      <w:pPr>
        <w:pStyle w:val="Compact"/>
        <w:numPr>
          <w:ilvl w:val="0"/>
          <w:numId w:val="1008"/>
        </w:numPr>
      </w:pPr>
      <w:r>
        <w:t xml:space="preserve">Is the EVO modernization platform beginning to support future orders?</w:t>
      </w:r>
    </w:p>
    <w:p>
      <w:pPr>
        <w:pStyle w:val="FirstParagraph"/>
      </w:pPr>
      <w:r>
        <w:t xml:space="preserve">A weak Services print is manageable if Equipment, backlog and management’s combined-delivery outlook remain intact. It is more concerning if accompanied by softer modernization bookings or delayed commercialization.</w:t>
      </w:r>
    </w:p>
    <w:bookmarkEnd w:id="18"/>
    <w:bookmarkStart w:id="19" w:name="X272acb4ddf391c44c2c7083b20cb8dfe8b7281d"/>
    <w:p>
      <w:pPr>
        <w:pStyle w:val="Heading3"/>
      </w:pPr>
      <w:r>
        <w:t xml:space="preserve">5. Transit margins and acquisition integration</w:t>
      </w:r>
    </w:p>
    <w:p>
      <w:pPr>
        <w:pStyle w:val="FirstParagraph"/>
      </w:pPr>
      <w:r>
        <w:t xml:space="preserve">Transit was a highlight in 1Q:</w:t>
      </w:r>
    </w:p>
    <w:p>
      <w:pPr>
        <w:pStyle w:val="Compact"/>
        <w:numPr>
          <w:ilvl w:val="0"/>
          <w:numId w:val="1009"/>
        </w:numPr>
      </w:pPr>
      <w:r>
        <w:t xml:space="preserve">Revenue increased 17.8%, or 11% in constant currency.</w:t>
      </w:r>
    </w:p>
    <w:p>
      <w:pPr>
        <w:pStyle w:val="Compact"/>
        <w:numPr>
          <w:ilvl w:val="0"/>
          <w:numId w:val="1009"/>
        </w:numPr>
      </w:pPr>
      <w:r>
        <w:t xml:space="preserve">Adjusted operating margin expanded 200 basis points to 16.6%.</w:t>
      </w:r>
    </w:p>
    <w:p>
      <w:pPr>
        <w:pStyle w:val="Compact"/>
        <w:numPr>
          <w:ilvl w:val="0"/>
          <w:numId w:val="1009"/>
        </w:numPr>
      </w:pPr>
      <w:r>
        <w:t xml:space="preserve">Twelve-month backlog increased 20.7%.</w:t>
      </w:r>
    </w:p>
    <w:p>
      <w:pPr>
        <w:pStyle w:val="FirstParagraph"/>
      </w:pPr>
      <w:r>
        <w:t xml:space="preserve">Dellner contributed a partial quarter and is now included for the full quarter. Management has said Dellner’s margins exceed both Wabtec’s Transit average and the company average, making it potentially accretive to Transit margins as purchase-accounting effects subside.</w:t>
      </w:r>
    </w:p>
    <w:p>
      <w:pPr>
        <w:pStyle w:val="BodyText"/>
      </w:pPr>
      <w:r>
        <w:t xml:space="preserve">Investors should look for evidence that:</w:t>
      </w:r>
    </w:p>
    <w:p>
      <w:pPr>
        <w:pStyle w:val="Compact"/>
        <w:numPr>
          <w:ilvl w:val="0"/>
          <w:numId w:val="1010"/>
        </w:numPr>
      </w:pPr>
      <w:r>
        <w:t xml:space="preserve">Dellner, Frauscher and Inspection Technologies remain ahead of acquisition plans.</w:t>
      </w:r>
    </w:p>
    <w:p>
      <w:pPr>
        <w:pStyle w:val="Compact"/>
        <w:numPr>
          <w:ilvl w:val="0"/>
          <w:numId w:val="1010"/>
        </w:numPr>
      </w:pPr>
      <w:r>
        <w:t xml:space="preserve">Cost synergies are arriving on schedule.</w:t>
      </w:r>
    </w:p>
    <w:p>
      <w:pPr>
        <w:pStyle w:val="Compact"/>
        <w:numPr>
          <w:ilvl w:val="0"/>
          <w:numId w:val="1010"/>
        </w:numPr>
      </w:pPr>
      <w:r>
        <w:t xml:space="preserve">Cross-selling opportunities are translating into orders.</w:t>
      </w:r>
    </w:p>
    <w:p>
      <w:pPr>
        <w:pStyle w:val="Compact"/>
        <w:numPr>
          <w:ilvl w:val="0"/>
          <w:numId w:val="1010"/>
        </w:numPr>
      </w:pPr>
      <w:r>
        <w:t xml:space="preserve">Acquisition-related SG&amp;A does not overwhelm gross-margin benefits.</w:t>
      </w:r>
    </w:p>
    <w:p>
      <w:pPr>
        <w:pStyle w:val="Compact"/>
        <w:numPr>
          <w:ilvl w:val="0"/>
          <w:numId w:val="1010"/>
        </w:numPr>
      </w:pPr>
      <w:r>
        <w:t xml:space="preserve">Transit margins remain comfortably above the 15.2% reported in 2Q25.</w:t>
      </w:r>
    </w:p>
    <w:p>
      <w:pPr>
        <w:pStyle w:val="FirstParagraph"/>
      </w:pPr>
      <w:r>
        <w:t xml:space="preserve">Transit adjusted margin holding near the 1Q level would be a strong result given integration activity.</w:t>
      </w:r>
    </w:p>
    <w:bookmarkEnd w:id="19"/>
    <w:bookmarkStart w:id="20" w:name="Xd0faa594ddcb156e3befeef933cf1afa6dfe685"/>
    <w:p>
      <w:pPr>
        <w:pStyle w:val="Heading3"/>
      </w:pPr>
      <w:r>
        <w:t xml:space="preserve">6. Cash flow, leverage and capital allocation</w:t>
      </w:r>
    </w:p>
    <w:p>
      <w:pPr>
        <w:pStyle w:val="FirstParagraph"/>
      </w:pPr>
      <w:r>
        <w:t xml:space="preserve">Wabtec generated $199 million of operating cash flow in 1Q, representing only 40% cash conversion, but first-quarter cash generation is seasonally modest. Working capital increased as receivables and inventories grew.</w:t>
      </w:r>
    </w:p>
    <w:p>
      <w:pPr>
        <w:pStyle w:val="BodyText"/>
      </w:pPr>
      <w:r>
        <w:t xml:space="preserve">The balance sheet ended March with:</w:t>
      </w:r>
    </w:p>
    <w:p>
      <w:pPr>
        <w:pStyle w:val="Compact"/>
        <w:numPr>
          <w:ilvl w:val="0"/>
          <w:numId w:val="1011"/>
        </w:numPr>
      </w:pPr>
      <w:r>
        <w:t xml:space="preserve">$2.09 billion of liquidity</w:t>
      </w:r>
    </w:p>
    <w:p>
      <w:pPr>
        <w:pStyle w:val="Compact"/>
        <w:numPr>
          <w:ilvl w:val="0"/>
          <w:numId w:val="1011"/>
        </w:numPr>
      </w:pPr>
      <w:r>
        <w:t xml:space="preserve">$6.54 billion of debt</w:t>
      </w:r>
    </w:p>
    <w:p>
      <w:pPr>
        <w:pStyle w:val="Compact"/>
        <w:numPr>
          <w:ilvl w:val="0"/>
          <w:numId w:val="1011"/>
        </w:numPr>
      </w:pPr>
      <w:r>
        <w:t xml:space="preserve">Net leverage of 2.3 times</w:t>
      </w:r>
    </w:p>
    <w:p>
      <w:pPr>
        <w:pStyle w:val="Compact"/>
        <w:numPr>
          <w:ilvl w:val="0"/>
          <w:numId w:val="1011"/>
        </w:numPr>
      </w:pPr>
      <w:r>
        <w:t xml:space="preserve">$242 million of quarterly share repurchases</w:t>
      </w:r>
    </w:p>
    <w:p>
      <w:pPr>
        <w:pStyle w:val="Compact"/>
        <w:numPr>
          <w:ilvl w:val="0"/>
          <w:numId w:val="1011"/>
        </w:numPr>
      </w:pPr>
      <w:r>
        <w:t xml:space="preserve">$53 million of dividends</w:t>
      </w:r>
    </w:p>
    <w:p>
      <w:pPr>
        <w:pStyle w:val="FirstParagraph"/>
      </w:pPr>
      <w:r>
        <w:t xml:space="preserve">That leverage remained within management’s 2.0–2.5-times range despite funding the approximately $1 billion Dellner transaction.</w:t>
      </w:r>
    </w:p>
    <w:p>
      <w:pPr>
        <w:pStyle w:val="BodyText"/>
      </w:pPr>
      <w:r>
        <w:t xml:space="preserve">Investors should focus on whether inventory and receivables begin converting to cash, and whether management balances continued buybacks with acquisition-related deleveraging. The long-term framework continues to target average operating-cash-flow conversion above 90% through 2029. (</w:t>
      </w:r>
      <w:hyperlink r:id="rId15">
        <w:r>
          <w:rPr>
            <w:rStyle w:val="Hyperlink"/>
          </w:rPr>
          <w:t xml:space="preserve">wabteccorp.com</w:t>
        </w:r>
      </w:hyperlink>
      <w:r>
        <w:t xml:space="preserve">)</w:t>
      </w:r>
    </w:p>
    <w:bookmarkEnd w:id="20"/>
    <w:bookmarkEnd w:id="21"/>
    <w:bookmarkStart w:id="23" w:name="guidance-is-the-real-hurdle"/>
    <w:p>
      <w:pPr>
        <w:pStyle w:val="Heading2"/>
      </w:pPr>
      <w:r>
        <w:t xml:space="preserve">Guidance is the real hurdle</w:t>
      </w:r>
    </w:p>
    <w:p>
      <w:pPr>
        <w:pStyle w:val="FirstParagraph"/>
      </w:pPr>
      <w:r>
        <w:t xml:space="preserve">Current 2026 guidance is:</w:t>
      </w:r>
    </w:p>
    <w:p>
      <w:pPr>
        <w:pStyle w:val="Compact"/>
        <w:numPr>
          <w:ilvl w:val="0"/>
          <w:numId w:val="1012"/>
        </w:numPr>
      </w:pPr>
      <w:r>
        <w:rPr>
          <w:b/>
          <w:bCs/>
        </w:rPr>
        <w:t xml:space="preserve">Revenue:</w:t>
      </w:r>
      <w:r>
        <w:t xml:space="preserve"> </w:t>
      </w:r>
      <m:oMath>
        <m:r>
          <m:t>12.19</m:t>
        </m:r>
        <m:r>
          <m:rPr>
            <m:sty m:val="p"/>
          </m:rPr>
          <m:t>–</m:t>
        </m:r>
      </m:oMath>
      <w:r>
        <w:t xml:space="preserve">12.49 billion</w:t>
      </w:r>
    </w:p>
    <w:p>
      <w:pPr>
        <w:pStyle w:val="Compact"/>
        <w:numPr>
          <w:ilvl w:val="0"/>
          <w:numId w:val="1012"/>
        </w:numPr>
      </w:pPr>
      <w:r>
        <w:rPr>
          <w:b/>
          <w:bCs/>
        </w:rPr>
        <w:t xml:space="preserve">Adjusted EPS:</w:t>
      </w:r>
      <w:r>
        <w:t xml:space="preserve"> </w:t>
      </w:r>
      <m:oMath>
        <m:r>
          <m:t>10.25</m:t>
        </m:r>
        <m:r>
          <m:rPr>
            <m:sty m:val="p"/>
          </m:rPr>
          <m:t>–</m:t>
        </m:r>
      </m:oMath>
      <w:r>
        <w:t xml:space="preserve">10.65</w:t>
      </w:r>
    </w:p>
    <w:p>
      <w:pPr>
        <w:pStyle w:val="Compact"/>
        <w:numPr>
          <w:ilvl w:val="0"/>
          <w:numId w:val="1012"/>
        </w:numPr>
      </w:pPr>
      <w:r>
        <w:rPr>
          <w:b/>
          <w:bCs/>
        </w:rPr>
        <w:t xml:space="preserve">Tax rate:</w:t>
      </w:r>
      <w:r>
        <w:t xml:space="preserve"> </w:t>
      </w:r>
      <w:r>
        <w:t xml:space="preserve">approximately 24.5%</w:t>
      </w:r>
    </w:p>
    <w:p>
      <w:pPr>
        <w:pStyle w:val="Compact"/>
        <w:numPr>
          <w:ilvl w:val="0"/>
          <w:numId w:val="1012"/>
        </w:numPr>
      </w:pPr>
      <w:r>
        <w:rPr>
          <w:b/>
          <w:bCs/>
        </w:rPr>
        <w:t xml:space="preserve">Capital spending:</w:t>
      </w:r>
      <w:r>
        <w:t xml:space="preserve"> </w:t>
      </w:r>
      <w:r>
        <w:t xml:space="preserve">approximately 2% of sales</w:t>
      </w:r>
    </w:p>
    <w:p>
      <w:pPr>
        <w:pStyle w:val="Compact"/>
        <w:numPr>
          <w:ilvl w:val="0"/>
          <w:numId w:val="1012"/>
        </w:numPr>
      </w:pPr>
      <w:r>
        <w:rPr>
          <w:b/>
          <w:bCs/>
        </w:rPr>
        <w:t xml:space="preserve">Adjusted operating margin:</w:t>
      </w:r>
      <w:r>
        <w:t xml:space="preserve"> </w:t>
      </w:r>
      <w:r>
        <w:t xml:space="preserve">higher year over year (</w:t>
      </w:r>
      <w:hyperlink r:id="rId15">
        <w:r>
          <w:rPr>
            <w:rStyle w:val="Hyperlink"/>
          </w:rPr>
          <w:t xml:space="preserve">wabteccorp.com</w:t>
        </w:r>
      </w:hyperlink>
      <w:r>
        <w:t xml:space="preserve">)</w:t>
      </w:r>
    </w:p>
    <w:p>
      <w:pPr>
        <w:pStyle w:val="FirstParagraph"/>
      </w:pPr>
      <w:r>
        <w:t xml:space="preserve">After 1Q, the midpoint math leaves approximately:</w:t>
      </w:r>
    </w:p>
    <w:p>
      <w:pPr>
        <w:pStyle w:val="Compact"/>
        <w:numPr>
          <w:ilvl w:val="0"/>
          <w:numId w:val="1013"/>
        </w:numPr>
      </w:pPr>
      <w:r>
        <w:rPr>
          <w:b/>
          <w:bCs/>
        </w:rPr>
        <w:t xml:space="preserve">$9.39 billion of revenue</w:t>
      </w:r>
      <w:r>
        <w:t xml:space="preserve"> </w:t>
      </w:r>
      <w:r>
        <w:t xml:space="preserve">for the remaining three quarters, or an average of $3.13 billion per quarter.</w:t>
      </w:r>
    </w:p>
    <w:p>
      <w:pPr>
        <w:pStyle w:val="Compact"/>
        <w:numPr>
          <w:ilvl w:val="0"/>
          <w:numId w:val="1013"/>
        </w:numPr>
      </w:pPr>
      <w:r>
        <w:rPr>
          <w:b/>
          <w:bCs/>
        </w:rPr>
        <w:t xml:space="preserve">$7.74 of adjusted EPS</w:t>
      </w:r>
      <w:r>
        <w:t xml:space="preserve">, or an average of $2.58 per quarter.</w:t>
      </w:r>
    </w:p>
    <w:p>
      <w:pPr>
        <w:pStyle w:val="FirstParagraph"/>
      </w:pPr>
      <w:r>
        <w:t xml:space="preserve">The roughly</w:t>
      </w:r>
      <w:r>
        <w:t xml:space="preserve"> </w:t>
      </w:r>
      <m:oMath>
        <m:r>
          <m:t>2.63</m:t>
        </m:r>
        <m:r>
          <m:t>s</m:t>
        </m:r>
        <m:r>
          <m:t>e</m:t>
        </m:r>
        <m:r>
          <m:t>c</m:t>
        </m:r>
        <m:r>
          <m:t>o</m:t>
        </m:r>
        <m:r>
          <m:t>n</m:t>
        </m:r>
        <m:r>
          <m:t>d</m:t>
        </m:r>
        <m:r>
          <m:rPr>
            <m:sty m:val="p"/>
          </m:rPr>
          <m:t>−</m:t>
        </m:r>
        <m:r>
          <m:t>q</m:t>
        </m:r>
        <m:r>
          <m:t>u</m:t>
        </m:r>
        <m:r>
          <m:t>a</m:t>
        </m:r>
        <m:r>
          <m:t>r</m:t>
        </m:r>
        <m:r>
          <m:t>t</m:t>
        </m:r>
        <m:r>
          <m:t>e</m:t>
        </m:r>
        <m:r>
          <m:t>r</m:t>
        </m:r>
        <m:r>
          <m:t>E</m:t>
        </m:r>
        <m:r>
          <m:t>P</m:t>
        </m:r>
        <m:r>
          <m:t>S</m:t>
        </m:r>
        <m:r>
          <m:t>c</m:t>
        </m:r>
        <m:r>
          <m:t>o</m:t>
        </m:r>
        <m:r>
          <m:t>n</m:t>
        </m:r>
        <m:r>
          <m:t>s</m:t>
        </m:r>
        <m:r>
          <m:t>e</m:t>
        </m:r>
        <m:r>
          <m:t>n</m:t>
        </m:r>
        <m:r>
          <m:t>s</m:t>
        </m:r>
        <m:r>
          <m:t>u</m:t>
        </m:r>
        <m:r>
          <m:t>s</m:t>
        </m:r>
        <m:r>
          <m:t>i</m:t>
        </m:r>
        <m:r>
          <m:t>s</m:t>
        </m:r>
        <m:r>
          <m:t>t</m:t>
        </m:r>
        <m:r>
          <m:t>h</m:t>
        </m:r>
        <m:r>
          <m:t>e</m:t>
        </m:r>
        <m:r>
          <m:t>r</m:t>
        </m:r>
        <m:r>
          <m:t>e</m:t>
        </m:r>
        <m:r>
          <m:t>f</m:t>
        </m:r>
        <m:r>
          <m:t>o</m:t>
        </m:r>
        <m:r>
          <m:t>r</m:t>
        </m:r>
        <m:r>
          <m:t>e</m:t>
        </m:r>
        <m:r>
          <m:t>c</m:t>
        </m:r>
        <m:r>
          <m:t>o</m:t>
        </m:r>
        <m:r>
          <m:t>n</m:t>
        </m:r>
        <m:r>
          <m:t>s</m:t>
        </m:r>
        <m:r>
          <m:t>i</m:t>
        </m:r>
        <m:r>
          <m:t>s</m:t>
        </m:r>
        <m:r>
          <m:t>t</m:t>
        </m:r>
        <m:r>
          <m:t>e</m:t>
        </m:r>
        <m:r>
          <m:t>n</m:t>
        </m:r>
        <m:r>
          <m:t>t</m:t>
        </m:r>
        <m:r>
          <m:t>w</m:t>
        </m:r>
        <m:r>
          <m:t>i</m:t>
        </m:r>
        <m:r>
          <m:t>t</m:t>
        </m:r>
        <m:r>
          <m:t>h</m:t>
        </m:r>
        <m:r>
          <m:t>a</m:t>
        </m:r>
        <m:r>
          <m:t>c</m:t>
        </m:r>
        <m:r>
          <m:t>h</m:t>
        </m:r>
        <m:r>
          <m:t>i</m:t>
        </m:r>
        <m:r>
          <m:t>e</m:t>
        </m:r>
        <m:r>
          <m:t>v</m:t>
        </m:r>
        <m:r>
          <m:t>i</m:t>
        </m:r>
        <m:r>
          <m:t>n</m:t>
        </m:r>
        <m:r>
          <m:t>g</m:t>
        </m:r>
        <m:r>
          <m:t>t</m:t>
        </m:r>
        <m:r>
          <m:t>h</m:t>
        </m:r>
        <m:r>
          <m:t>e</m:t>
        </m:r>
        <m:r>
          <m:t>e</m:t>
        </m:r>
        <m:r>
          <m:t>x</m:t>
        </m:r>
        <m:r>
          <m:t>i</m:t>
        </m:r>
        <m:r>
          <m:t>s</m:t>
        </m:r>
        <m:r>
          <m:t>t</m:t>
        </m:r>
        <m:r>
          <m:t>i</m:t>
        </m:r>
        <m:r>
          <m:t>n</m:t>
        </m:r>
        <m:r>
          <m:t>g</m:t>
        </m:r>
        <m:r>
          <m:t>f</m:t>
        </m:r>
        <m:r>
          <m:t>u</m:t>
        </m:r>
        <m:r>
          <m:t>l</m:t>
        </m:r>
        <m:r>
          <m:t>l</m:t>
        </m:r>
        <m:r>
          <m:rPr>
            <m:sty m:val="p"/>
          </m:rPr>
          <m:t>−</m:t>
        </m:r>
        <m:r>
          <m:t>y</m:t>
        </m:r>
        <m:r>
          <m:t>e</m:t>
        </m:r>
        <m:r>
          <m:t>a</m:t>
        </m:r>
        <m:r>
          <m:t>r</m:t>
        </m:r>
        <m:r>
          <m:t>m</m:t>
        </m:r>
        <m:r>
          <m:t>i</m:t>
        </m:r>
        <m:r>
          <m:t>d</m:t>
        </m:r>
        <m:r>
          <m:t>p</m:t>
        </m:r>
        <m:r>
          <m:t>o</m:t>
        </m:r>
        <m:r>
          <m:t>i</m:t>
        </m:r>
        <m:r>
          <m:t>n</m:t>
        </m:r>
        <m:r>
          <m:t>t</m:t>
        </m:r>
        <m:r>
          <m:rPr>
            <m:sty m:val="p"/>
          </m:rPr>
          <m:t>.</m:t>
        </m:r>
        <m:r>
          <m:t>M</m:t>
        </m:r>
        <m:r>
          <m:t>o</m:t>
        </m:r>
        <m:r>
          <m:t>r</m:t>
        </m:r>
        <m:r>
          <m:t>e</m:t>
        </m:r>
        <m:r>
          <m:t>i</m:t>
        </m:r>
        <m:r>
          <m:t>m</m:t>
        </m:r>
        <m:r>
          <m:t>p</m:t>
        </m:r>
        <m:r>
          <m:t>o</m:t>
        </m:r>
        <m:r>
          <m:t>r</m:t>
        </m:r>
        <m:r>
          <m:t>t</m:t>
        </m:r>
        <m:r>
          <m:t>a</m:t>
        </m:r>
        <m:r>
          <m:t>n</m:t>
        </m:r>
        <m:r>
          <m:t>t</m:t>
        </m:r>
        <m:r>
          <m:t>l</m:t>
        </m:r>
        <m:r>
          <m:t>y</m:t>
        </m:r>
        <m:r>
          <m:rPr>
            <m:sty m:val="p"/>
          </m:rPr>
          <m:t>,</m:t>
        </m:r>
        <m:r>
          <m:t>t</m:t>
        </m:r>
        <m:r>
          <m:t>h</m:t>
        </m:r>
        <m:r>
          <m:t>e</m:t>
        </m:r>
        <m:r>
          <m:t>f</m:t>
        </m:r>
        <m:r>
          <m:t>u</m:t>
        </m:r>
        <m:r>
          <m:t>l</m:t>
        </m:r>
        <m:r>
          <m:t>l</m:t>
        </m:r>
        <m:r>
          <m:rPr>
            <m:sty m:val="p"/>
          </m:rPr>
          <m:t>−</m:t>
        </m:r>
        <m:r>
          <m:t>y</m:t>
        </m:r>
        <m:r>
          <m:t>e</m:t>
        </m:r>
        <m:r>
          <m:t>a</m:t>
        </m:r>
        <m:r>
          <m:t>r</m:t>
        </m:r>
        <m:r>
          <m:t>S</m:t>
        </m:r>
        <m:r>
          <m:t>t</m:t>
        </m:r>
        <m:r>
          <m:t>r</m:t>
        </m:r>
        <m:r>
          <m:t>e</m:t>
        </m:r>
        <m:r>
          <m:t>e</m:t>
        </m:r>
        <m:r>
          <m:t>t</m:t>
        </m:r>
        <m:r>
          <m:t>E</m:t>
        </m:r>
        <m:r>
          <m:t>P</m:t>
        </m:r>
        <m:r>
          <m:t>S</m:t>
        </m:r>
        <m:r>
          <m:t>e</m:t>
        </m:r>
        <m:r>
          <m:t>s</m:t>
        </m:r>
        <m:r>
          <m:t>t</m:t>
        </m:r>
        <m:r>
          <m:t>i</m:t>
        </m:r>
        <m:r>
          <m:t>m</m:t>
        </m:r>
        <m:r>
          <m:t>a</m:t>
        </m:r>
        <m:r>
          <m:t>t</m:t>
        </m:r>
        <m:r>
          <m:t>e</m:t>
        </m:r>
        <m:r>
          <m:t>i</m:t>
        </m:r>
        <m:r>
          <m:t>s</m:t>
        </m:r>
        <m:r>
          <m:t>a</m:t>
        </m:r>
        <m:r>
          <m:t>r</m:t>
        </m:r>
        <m:r>
          <m:t>o</m:t>
        </m:r>
        <m:r>
          <m:t>u</m:t>
        </m:r>
        <m:r>
          <m:t>n</m:t>
        </m:r>
        <m:r>
          <m:t>d</m:t>
        </m:r>
        <m:r>
          <m:rPr>
            <m:sty m:val="p"/>
          </m:rPr>
          <m:t>*</m:t>
        </m:r>
        <m:r>
          <m:rPr>
            <m:sty m:val="p"/>
          </m:rPr>
          <m:t>*</m:t>
        </m:r>
      </m:oMath>
      <w:r>
        <w:t xml:space="preserve">10.6**, near the top of company guidance. (</w:t>
      </w:r>
      <w:hyperlink r:id="rId22">
        <w:r>
          <w:rPr>
            <w:rStyle w:val="Hyperlink"/>
          </w:rPr>
          <w:t xml:space="preserve">barchart.com</w:t>
        </w:r>
      </w:hyperlink>
      <w:r>
        <w:t xml:space="preserve">)</w:t>
      </w:r>
    </w:p>
    <w:p>
      <w:pPr>
        <w:pStyle w:val="BodyText"/>
      </w:pPr>
      <w:r>
        <w:t xml:space="preserve">That creates a relatively high bar:</w:t>
      </w:r>
    </w:p>
    <w:p>
      <w:pPr>
        <w:pStyle w:val="Compact"/>
        <w:numPr>
          <w:ilvl w:val="0"/>
          <w:numId w:val="1014"/>
        </w:numPr>
      </w:pPr>
      <w:r>
        <w:rPr>
          <w:b/>
          <w:bCs/>
        </w:rPr>
        <w:t xml:space="preserve">Reiterating guidance</w:t>
      </w:r>
      <w:r>
        <w:t xml:space="preserve"> </w:t>
      </w:r>
      <w:r>
        <w:t xml:space="preserve">would be acceptable operationally but may not create much upside.</w:t>
      </w:r>
    </w:p>
    <w:p>
      <w:pPr>
        <w:pStyle w:val="Compact"/>
        <w:numPr>
          <w:ilvl w:val="0"/>
          <w:numId w:val="1014"/>
        </w:numPr>
      </w:pPr>
      <w:r>
        <w:rPr>
          <w:b/>
          <w:bCs/>
        </w:rPr>
        <w:t xml:space="preserve">Raising the EPS midpoint</w:t>
      </w:r>
      <w:r>
        <w:t xml:space="preserve"> </w:t>
      </w:r>
      <w:r>
        <w:t xml:space="preserve">would better support the stock’s valuation.</w:t>
      </w:r>
    </w:p>
    <w:p>
      <w:pPr>
        <w:pStyle w:val="Compact"/>
        <w:numPr>
          <w:ilvl w:val="0"/>
          <w:numId w:val="1014"/>
        </w:numPr>
      </w:pPr>
      <w:r>
        <w:t xml:space="preserve">A revenue-guidance increase would be particularly constructive because management left revenue unchanged after 1Q.</w:t>
      </w:r>
    </w:p>
    <w:p>
      <w:pPr>
        <w:pStyle w:val="Compact"/>
        <w:numPr>
          <w:ilvl w:val="0"/>
          <w:numId w:val="1014"/>
        </w:numPr>
      </w:pPr>
      <w:r>
        <w:t xml:space="preserve">If guidance is merely maintained, investors will want confident commentary that margin improvement and tariff relief accelerate in the second half.</w:t>
      </w:r>
    </w:p>
    <w:bookmarkEnd w:id="23"/>
    <w:bookmarkStart w:id="27" w:name="potential-market-scenarios"/>
    <w:p>
      <w:pPr>
        <w:pStyle w:val="Heading2"/>
      </w:pPr>
      <w:r>
        <w:t xml:space="preserve">Potential market scenarios</w:t>
      </w:r>
    </w:p>
    <w:bookmarkStart w:id="24" w:name="bull-case"/>
    <w:p>
      <w:pPr>
        <w:pStyle w:val="Heading3"/>
      </w:pPr>
      <w:r>
        <w:t xml:space="preserve">Bull case</w:t>
      </w:r>
    </w:p>
    <w:p>
      <w:pPr>
        <w:pStyle w:val="Compact"/>
        <w:numPr>
          <w:ilvl w:val="0"/>
          <w:numId w:val="1015"/>
        </w:numPr>
      </w:pPr>
      <w:r>
        <w:t xml:space="preserve">Revenue above roughly $3.1 billion</w:t>
      </w:r>
    </w:p>
    <w:p>
      <w:pPr>
        <w:pStyle w:val="Compact"/>
        <w:numPr>
          <w:ilvl w:val="0"/>
          <w:numId w:val="1015"/>
        </w:numPr>
      </w:pPr>
      <w:r>
        <w:t xml:space="preserve">Adjusted EPS above $2.65</w:t>
      </w:r>
    </w:p>
    <w:p>
      <w:pPr>
        <w:pStyle w:val="Compact"/>
        <w:numPr>
          <w:ilvl w:val="0"/>
          <w:numId w:val="1015"/>
        </w:numPr>
      </w:pPr>
      <w:r>
        <w:t xml:space="preserve">Organic growth at or above mid-single digits</w:t>
      </w:r>
    </w:p>
    <w:p>
      <w:pPr>
        <w:pStyle w:val="Compact"/>
        <w:numPr>
          <w:ilvl w:val="0"/>
          <w:numId w:val="1015"/>
        </w:numPr>
      </w:pPr>
      <w:r>
        <w:t xml:space="preserve">Adjusted operating margin expands despite tariff pressure</w:t>
      </w:r>
    </w:p>
    <w:p>
      <w:pPr>
        <w:pStyle w:val="Compact"/>
        <w:numPr>
          <w:ilvl w:val="0"/>
          <w:numId w:val="1015"/>
        </w:numPr>
      </w:pPr>
      <w:r>
        <w:t xml:space="preserve">Twelve-month backlog remains strong</w:t>
      </w:r>
    </w:p>
    <w:p>
      <w:pPr>
        <w:pStyle w:val="Compact"/>
        <w:numPr>
          <w:ilvl w:val="0"/>
          <w:numId w:val="1015"/>
        </w:numPr>
      </w:pPr>
      <w:r>
        <w:t xml:space="preserve">Acquisitions continue to perform ahead of plan</w:t>
      </w:r>
    </w:p>
    <w:p>
      <w:pPr>
        <w:pStyle w:val="Compact"/>
        <w:numPr>
          <w:ilvl w:val="0"/>
          <w:numId w:val="1015"/>
        </w:numPr>
      </w:pPr>
      <w:r>
        <w:t xml:space="preserve">Full-year EPS guidance is raised, with no reduction to revenue expectations</w:t>
      </w:r>
    </w:p>
    <w:p>
      <w:pPr>
        <w:pStyle w:val="FirstParagraph"/>
      </w:pPr>
      <w:r>
        <w:t xml:space="preserve">This would reinforce Wabtec as a structurally improving industrial compounder rather than simply a cyclical rail-equipment supplier.</w:t>
      </w:r>
    </w:p>
    <w:bookmarkEnd w:id="24"/>
    <w:bookmarkStart w:id="25" w:name="base-case"/>
    <w:p>
      <w:pPr>
        <w:pStyle w:val="Heading3"/>
      </w:pPr>
      <w:r>
        <w:t xml:space="preserve">Base case</w:t>
      </w:r>
    </w:p>
    <w:p>
      <w:pPr>
        <w:pStyle w:val="Compact"/>
        <w:numPr>
          <w:ilvl w:val="0"/>
          <w:numId w:val="1016"/>
        </w:numPr>
      </w:pPr>
      <w:r>
        <w:t xml:space="preserve">Revenue around</w:t>
      </w:r>
      <w:r>
        <w:t xml:space="preserve"> </w:t>
      </w:r>
      <m:oMath>
        <m:r>
          <m:t>3.05</m:t>
        </m:r>
        <m:r>
          <m:rPr>
            <m:sty m:val="p"/>
          </m:rPr>
          <m:t>–</m:t>
        </m:r>
      </m:oMath>
      <w:r>
        <w:t xml:space="preserve">3.10 billion</w:t>
      </w:r>
    </w:p>
    <w:p>
      <w:pPr>
        <w:pStyle w:val="Compact"/>
        <w:numPr>
          <w:ilvl w:val="0"/>
          <w:numId w:val="1016"/>
        </w:numPr>
      </w:pPr>
      <w:r>
        <w:t xml:space="preserve">Adjusted EPS around</w:t>
      </w:r>
      <w:r>
        <w:t xml:space="preserve"> </w:t>
      </w:r>
      <m:oMath>
        <m:r>
          <m:t>2.60</m:t>
        </m:r>
        <m:r>
          <m:rPr>
            <m:sty m:val="p"/>
          </m:rPr>
          <m:t>–</m:t>
        </m:r>
      </m:oMath>
      <w:r>
        <w:t xml:space="preserve">2.65</w:t>
      </w:r>
    </w:p>
    <w:p>
      <w:pPr>
        <w:pStyle w:val="Compact"/>
        <w:numPr>
          <w:ilvl w:val="0"/>
          <w:numId w:val="1016"/>
        </w:numPr>
      </w:pPr>
      <w:r>
        <w:t xml:space="preserve">Modest operating-margin expansion</w:t>
      </w:r>
    </w:p>
    <w:p>
      <w:pPr>
        <w:pStyle w:val="Compact"/>
        <w:numPr>
          <w:ilvl w:val="0"/>
          <w:numId w:val="1016"/>
        </w:numPr>
      </w:pPr>
      <w:r>
        <w:t xml:space="preserve">Equipment strength offsets lower Services</w:t>
      </w:r>
    </w:p>
    <w:p>
      <w:pPr>
        <w:pStyle w:val="Compact"/>
        <w:numPr>
          <w:ilvl w:val="0"/>
          <w:numId w:val="1016"/>
        </w:numPr>
      </w:pPr>
      <w:r>
        <w:t xml:space="preserve">Backlog remains healthy but normalizes sequentially</w:t>
      </w:r>
    </w:p>
    <w:p>
      <w:pPr>
        <w:pStyle w:val="Compact"/>
        <w:numPr>
          <w:ilvl w:val="0"/>
          <w:numId w:val="1016"/>
        </w:numPr>
      </w:pPr>
      <w:r>
        <w:t xml:space="preserve">Full-year guidance is reiterated</w:t>
      </w:r>
    </w:p>
    <w:p>
      <w:pPr>
        <w:pStyle w:val="Compact"/>
        <w:numPr>
          <w:ilvl w:val="0"/>
          <w:numId w:val="1016"/>
        </w:numPr>
      </w:pPr>
      <w:r>
        <w:t xml:space="preserve">Management remains constructive on second-half margins</w:t>
      </w:r>
    </w:p>
    <w:p>
      <w:pPr>
        <w:pStyle w:val="FirstParagraph"/>
      </w:pPr>
      <w:r>
        <w:t xml:space="preserve">This would represent solid execution, although the stock reaction could be muted given WAB’s year-to-date outperformance.</w:t>
      </w:r>
    </w:p>
    <w:bookmarkEnd w:id="25"/>
    <w:bookmarkStart w:id="26" w:name="bear-case"/>
    <w:p>
      <w:pPr>
        <w:pStyle w:val="Heading3"/>
      </w:pPr>
      <w:r>
        <w:t xml:space="preserve">Bear case</w:t>
      </w:r>
    </w:p>
    <w:p>
      <w:pPr>
        <w:pStyle w:val="Compact"/>
        <w:numPr>
          <w:ilvl w:val="0"/>
          <w:numId w:val="1017"/>
        </w:numPr>
      </w:pPr>
      <w:r>
        <w:t xml:space="preserve">Revenue below $3.0 billion because of delivery or project timing</w:t>
      </w:r>
    </w:p>
    <w:p>
      <w:pPr>
        <w:pStyle w:val="Compact"/>
        <w:numPr>
          <w:ilvl w:val="0"/>
          <w:numId w:val="1017"/>
        </w:numPr>
      </w:pPr>
      <w:r>
        <w:t xml:space="preserve">Organic growth materially below the mid-single-digit objective</w:t>
      </w:r>
    </w:p>
    <w:p>
      <w:pPr>
        <w:pStyle w:val="Compact"/>
        <w:numPr>
          <w:ilvl w:val="0"/>
          <w:numId w:val="1017"/>
        </w:numPr>
      </w:pPr>
      <w:r>
        <w:t xml:space="preserve">Tariffs and input inflation cause margin contraction</w:t>
      </w:r>
    </w:p>
    <w:p>
      <w:pPr>
        <w:pStyle w:val="Compact"/>
        <w:numPr>
          <w:ilvl w:val="0"/>
          <w:numId w:val="1017"/>
        </w:numPr>
      </w:pPr>
      <w:r>
        <w:t xml:space="preserve">Services weakness extends beyond planned modernization timing</w:t>
      </w:r>
    </w:p>
    <w:p>
      <w:pPr>
        <w:pStyle w:val="Compact"/>
        <w:numPr>
          <w:ilvl w:val="0"/>
          <w:numId w:val="1017"/>
        </w:numPr>
      </w:pPr>
      <w:r>
        <w:t xml:space="preserve">Twelve-month backlog declines materially</w:t>
      </w:r>
    </w:p>
    <w:p>
      <w:pPr>
        <w:pStyle w:val="Compact"/>
        <w:numPr>
          <w:ilvl w:val="0"/>
          <w:numId w:val="1017"/>
        </w:numPr>
      </w:pPr>
      <w:r>
        <w:t xml:space="preserve">Acquisition integration raises costs without clear synergy progress</w:t>
      </w:r>
    </w:p>
    <w:p>
      <w:pPr>
        <w:pStyle w:val="Compact"/>
        <w:numPr>
          <w:ilvl w:val="0"/>
          <w:numId w:val="1017"/>
        </w:numPr>
      </w:pPr>
      <w:r>
        <w:t xml:space="preserve">Guidance is maintained only through aggressive second-half assumptions—or reduced</w:t>
      </w:r>
    </w:p>
    <w:p>
      <w:pPr>
        <w:pStyle w:val="FirstParagraph"/>
      </w:pPr>
      <w:r>
        <w:t xml:space="preserve">The most damaging combination would be weaker organic revenue, lower backlog and an unchanged full-year forecast that requires a sharp second-half acceleration.</w:t>
      </w:r>
    </w:p>
    <w:bookmarkEnd w:id="26"/>
    <w:bookmarkEnd w:id="27"/>
    <w:bookmarkStart w:id="28" w:name="questions-investors-should-want-answered"/>
    <w:p>
      <w:pPr>
        <w:pStyle w:val="Heading2"/>
      </w:pPr>
      <w:r>
        <w:t xml:space="preserve">Questions investors should want answered</w:t>
      </w:r>
    </w:p>
    <w:p>
      <w:pPr>
        <w:pStyle w:val="Compact"/>
        <w:numPr>
          <w:ilvl w:val="0"/>
          <w:numId w:val="1018"/>
        </w:numPr>
      </w:pPr>
      <w:r>
        <w:t xml:space="preserve">What was organic growth excluding acquisitions, currency and portfolio exits?</w:t>
      </w:r>
    </w:p>
    <w:p>
      <w:pPr>
        <w:pStyle w:val="Compact"/>
        <w:numPr>
          <w:ilvl w:val="0"/>
          <w:numId w:val="1018"/>
        </w:numPr>
      </w:pPr>
      <w:r>
        <w:t xml:space="preserve">Have tariff costs plateaued, and when should net margin pressure begin easing?</w:t>
      </w:r>
    </w:p>
    <w:p>
      <w:pPr>
        <w:pStyle w:val="Compact"/>
        <w:numPr>
          <w:ilvl w:val="0"/>
          <w:numId w:val="1018"/>
        </w:numPr>
      </w:pPr>
      <w:r>
        <w:t xml:space="preserve">Does management still expect mid-single-digit full-year organic growth?</w:t>
      </w:r>
    </w:p>
    <w:p>
      <w:pPr>
        <w:pStyle w:val="Compact"/>
        <w:numPr>
          <w:ilvl w:val="0"/>
          <w:numId w:val="1018"/>
        </w:numPr>
      </w:pPr>
      <w:r>
        <w:t xml:space="preserve">How should investors model Equipment versus Services in the second half?</w:t>
      </w:r>
    </w:p>
    <w:p>
      <w:pPr>
        <w:pStyle w:val="Compact"/>
        <w:numPr>
          <w:ilvl w:val="0"/>
          <w:numId w:val="1018"/>
        </w:numPr>
      </w:pPr>
      <w:r>
        <w:t xml:space="preserve">Are locomotive modernizations expected to recover in 2027?</w:t>
      </w:r>
    </w:p>
    <w:p>
      <w:pPr>
        <w:pStyle w:val="Compact"/>
        <w:numPr>
          <w:ilvl w:val="0"/>
          <w:numId w:val="1018"/>
        </w:numPr>
      </w:pPr>
      <w:r>
        <w:t xml:space="preserve">How much did Dellner, Frauscher and Inspection Technologies contribute to revenue and profit?</w:t>
      </w:r>
    </w:p>
    <w:p>
      <w:pPr>
        <w:pStyle w:val="Compact"/>
        <w:numPr>
          <w:ilvl w:val="0"/>
          <w:numId w:val="1018"/>
        </w:numPr>
      </w:pPr>
      <w:r>
        <w:t xml:space="preserve">Are acquisition cost and revenue synergies ahead of plan?</w:t>
      </w:r>
    </w:p>
    <w:p>
      <w:pPr>
        <w:pStyle w:val="Compact"/>
        <w:numPr>
          <w:ilvl w:val="0"/>
          <w:numId w:val="1018"/>
        </w:numPr>
      </w:pPr>
      <w:r>
        <w:t xml:space="preserve">How much of the backlog increase reflects large one-time orders versus recurring Services and aftermarket work?</w:t>
      </w:r>
    </w:p>
    <w:p>
      <w:pPr>
        <w:pStyle w:val="Compact"/>
        <w:numPr>
          <w:ilvl w:val="0"/>
          <w:numId w:val="1018"/>
        </w:numPr>
      </w:pPr>
      <w:r>
        <w:t xml:space="preserve">Is the current backlog more profitable than the backlog being delivered?</w:t>
      </w:r>
    </w:p>
    <w:p>
      <w:pPr>
        <w:pStyle w:val="Compact"/>
        <w:numPr>
          <w:ilvl w:val="0"/>
          <w:numId w:val="1018"/>
        </w:numPr>
      </w:pPr>
      <w:r>
        <w:t xml:space="preserve">What level of debt reduction should investors expect following the Dellner acquisition?</w:t>
      </w:r>
    </w:p>
    <w:p>
      <w:pPr>
        <w:pStyle w:val="Compact"/>
        <w:numPr>
          <w:ilvl w:val="0"/>
          <w:numId w:val="1018"/>
        </w:numPr>
      </w:pPr>
      <w:r>
        <w:t xml:space="preserve">Does management see enough operational upside to raise EPS guidance despite higher input costs?</w:t>
      </w:r>
    </w:p>
    <w:p>
      <w:pPr>
        <w:pStyle w:val="Compact"/>
        <w:numPr>
          <w:ilvl w:val="0"/>
          <w:numId w:val="1018"/>
        </w:numPr>
      </w:pPr>
      <w:r>
        <w:t xml:space="preserve">Has the outlook for North American rail customer capital spending changed?</w:t>
      </w:r>
    </w:p>
    <w:bookmarkEnd w:id="28"/>
    <w:bookmarkStart w:id="29" w:name="bottom-line"/>
    <w:p>
      <w:pPr>
        <w:pStyle w:val="Heading2"/>
      </w:pPr>
      <w:r>
        <w:t xml:space="preserve">Bottom line</w:t>
      </w:r>
    </w:p>
    <w:p>
      <w:pPr>
        <w:pStyle w:val="FirstParagraph"/>
      </w:pPr>
      <w:r>
        <w:t xml:space="preserve">Wabtec appears positioned to produce another quarter of approximately</w:t>
      </w:r>
      <w:r>
        <w:t xml:space="preserve"> </w:t>
      </w:r>
      <w:r>
        <w:rPr>
          <w:b/>
          <w:bCs/>
        </w:rPr>
        <w:t xml:space="preserve">14% revenue growth and mid-teens adjusted EPS growth</w:t>
      </w:r>
      <w:r>
        <w:t xml:space="preserve">. The headline numbers alone, however, will not determine whether the report is viewed favorably.</w:t>
      </w:r>
    </w:p>
    <w:p>
      <w:pPr>
        <w:pStyle w:val="BodyText"/>
      </w:pPr>
      <w:r>
        <w:t xml:space="preserve">The key test is whether Wabtec can demonstrate that:</w:t>
      </w:r>
    </w:p>
    <w:p>
      <w:pPr>
        <w:pStyle w:val="Compact"/>
        <w:numPr>
          <w:ilvl w:val="0"/>
          <w:numId w:val="1019"/>
        </w:numPr>
      </w:pPr>
      <w:r>
        <w:t xml:space="preserve">Organic growth is strengthening beneath the acquisition contribution.</w:t>
      </w:r>
    </w:p>
    <w:p>
      <w:pPr>
        <w:pStyle w:val="Compact"/>
        <w:numPr>
          <w:ilvl w:val="0"/>
          <w:numId w:val="1019"/>
        </w:numPr>
      </w:pPr>
      <w:r>
        <w:t xml:space="preserve">Margins can expand through peak tariff pressure.</w:t>
      </w:r>
    </w:p>
    <w:p>
      <w:pPr>
        <w:pStyle w:val="Compact"/>
        <w:numPr>
          <w:ilvl w:val="0"/>
          <w:numId w:val="1019"/>
        </w:numPr>
      </w:pPr>
      <w:r>
        <w:t xml:space="preserve">Backlog supports continued growth into 2027.</w:t>
      </w:r>
    </w:p>
    <w:p>
      <w:pPr>
        <w:pStyle w:val="Compact"/>
        <w:numPr>
          <w:ilvl w:val="0"/>
          <w:numId w:val="1019"/>
        </w:numPr>
      </w:pPr>
      <w:r>
        <w:t xml:space="preserve">Services weakness is production mix rather than demand erosion.</w:t>
      </w:r>
    </w:p>
    <w:p>
      <w:pPr>
        <w:pStyle w:val="Compact"/>
        <w:numPr>
          <w:ilvl w:val="0"/>
          <w:numId w:val="1019"/>
        </w:numPr>
      </w:pPr>
      <w:r>
        <w:t xml:space="preserve">Recent acquisitions are improving the company’s growth and margin profile.</w:t>
      </w:r>
    </w:p>
    <w:p>
      <w:pPr>
        <w:pStyle w:val="Compact"/>
        <w:numPr>
          <w:ilvl w:val="0"/>
          <w:numId w:val="1019"/>
        </w:numPr>
      </w:pPr>
      <w:r>
        <w:t xml:space="preserve">Full-year guidance still contains upside.</w:t>
      </w:r>
    </w:p>
    <w:p>
      <w:pPr>
        <w:pStyle w:val="FirstParagraph"/>
      </w:pPr>
      <w:r>
        <w:t xml:space="preserve">Given the stock’s strong run and roughly 25-times forward multiple, the most favorable outcome is not simply an EPS beat. It is an EPS beat accompanied by</w:t>
      </w:r>
      <w:r>
        <w:t xml:space="preserve"> </w:t>
      </w:r>
      <w:r>
        <w:rPr>
          <w:b/>
          <w:bCs/>
        </w:rPr>
        <w:t xml:space="preserve">healthy organic growth, resilient backlog, convincing margin commentary and a guidance increase</w:t>
      </w:r>
      <w:r>
        <w:t xml:space="preserve">.</w:t>
      </w:r>
    </w:p>
    <w:bookmarkEnd w:id="29"/>
    <w:bookmarkEnd w:id="30"/>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22" Target="https://www.barchart.com/stocks/quotes/WAB/earnings-estimates?utm_source=openai" TargetMode="External" /><Relationship Type="http://schemas.openxmlformats.org/officeDocument/2006/relationships/hyperlink" Id="rId10" Target="https://www.finanzen.net/schaetzungen/wabtec" TargetMode="External" /><Relationship Type="http://schemas.openxmlformats.org/officeDocument/2006/relationships/hyperlink" Id="rId15" Target="https://www.wabteccorp.com/media/16614/download?inline=" TargetMode="External" /><Relationship Type="http://schemas.openxmlformats.org/officeDocument/2006/relationships/hyperlink" Id="rId9" Target="https://www.wabteccorp.com/newsroom/press-releases/wabtec-announces-second-quarter-2026-earnings-release-date?utm_source=openai" TargetMode="External" /><Relationship Type="http://schemas.openxmlformats.org/officeDocument/2006/relationships/hyperlink" Id="rId12" Target="https://www.wabteccorp.com/newsroom/press-releases/wabtec-reports-first-quarter-2026-results?utm_source=openai" TargetMode="External" /></Relationships>
</file>

<file path=word/_rels/footnotes.xml.rels><?xml version="1.0" encoding="UTF-8"?><Relationships xmlns="http://schemas.openxmlformats.org/package/2006/relationships"><Relationship Type="http://schemas.openxmlformats.org/officeDocument/2006/relationships/hyperlink" Id="rId22" Target="https://www.barchart.com/stocks/quotes/WAB/earnings-estimates?utm_source=openai" TargetMode="External" /><Relationship Type="http://schemas.openxmlformats.org/officeDocument/2006/relationships/hyperlink" Id="rId10" Target="https://www.finanzen.net/schaetzungen/wabtec" TargetMode="External" /><Relationship Type="http://schemas.openxmlformats.org/officeDocument/2006/relationships/hyperlink" Id="rId15" Target="https://www.wabteccorp.com/media/16614/download?inline=" TargetMode="External" /><Relationship Type="http://schemas.openxmlformats.org/officeDocument/2006/relationships/hyperlink" Id="rId9" Target="https://www.wabteccorp.com/newsroom/press-releases/wabtec-announces-second-quarter-2026-earnings-release-date?utm_source=openai" TargetMode="External" /><Relationship Type="http://schemas.openxmlformats.org/officeDocument/2006/relationships/hyperlink" Id="rId12" Target="https://www.wabteccorp.com/newsroom/press-releases/wabtec-reports-first-quarter-2026-results?utm_source=openai"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2026-07-22T00:12:42Z</dcterms:created>
  <dcterms:modified xsi:type="dcterms:W3CDTF">2026-07-22T00:12:42Z</dcterms:modified>
</cp:coreProperties>
</file>

<file path=docProps/custom.xml><?xml version="1.0" encoding="utf-8"?>
<Properties xmlns="http://schemas.openxmlformats.org/officeDocument/2006/custom-properties" xmlns:vt="http://schemas.openxmlformats.org/officeDocument/2006/docPropsVTypes"/>
</file>