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4" w:name="wabtec-nyse-wab--2q26-earnings-preview"/>
    <w:p>
      <w:pPr>
        <w:pStyle w:val="Heading1"/>
      </w:pPr>
      <w:r>
        <w:t xml:space="preserve">Wabtec (NYSE: WAB) — 2Q26 Earnings Preview</w:t>
      </w:r>
    </w:p>
    <w:p>
      <w:pPr>
        <w:pStyle w:val="BlockText"/>
      </w:pPr>
      <w:r>
        <w:rPr>
          <w:b/>
          <w:bCs/>
        </w:rPr>
        <w:t xml:space="preserve">Date note:</w:t>
      </w:r>
      <w:r>
        <w:t xml:space="preserve"> </w:t>
      </w:r>
      <w:r>
        <w:t xml:space="preserve">July 22, 2026 is</w:t>
      </w:r>
      <w:r>
        <w:t xml:space="preserve"> </w:t>
      </w:r>
      <w:r>
        <w:rPr>
          <w:b/>
          <w:bCs/>
        </w:rPr>
        <w:t xml:space="preserve">today</w:t>
      </w:r>
      <w:r>
        <w:t xml:space="preserve">, not tomorrow. This preview is framed ahead of Wabtec’s reported</w:t>
      </w:r>
      <w:r>
        <w:t xml:space="preserve"> </w:t>
      </w:r>
      <w:r>
        <w:rPr>
          <w:b/>
          <w:bCs/>
        </w:rPr>
        <w:t xml:space="preserve">2026Q2 earnings call event on July 22</w:t>
      </w:r>
      <w:r>
        <w:t xml:space="preserve">.</w:t>
      </w:r>
    </w:p>
    <w:bookmarkStart w:id="9" w:name="X62e6b1e71a1dc3267789e490e4285f415dbfb2f"/>
    <w:p>
      <w:pPr>
        <w:pStyle w:val="Heading2"/>
      </w:pPr>
      <w:r>
        <w:t xml:space="preserve">Investment view: execution and outlook matter more than a headline EPS beat</w:t>
      </w:r>
    </w:p>
    <w:p>
      <w:pPr>
        <w:pStyle w:val="FirstParagraph"/>
      </w:pPr>
      <w:r>
        <w:t xml:space="preserve">Wabtec enters 2Q with strong operational momentum, a record backlog, and recently raised full-year adjusted-EPS guidance. The principal debate is unlikely to be whether revenue grows—management has already indicated that 2Q should resemble 1Q in revenue growth and margin performance—but rather:</w:t>
      </w:r>
    </w:p>
    <w:p>
      <w:pPr>
        <w:pStyle w:val="Compact"/>
        <w:numPr>
          <w:ilvl w:val="0"/>
          <w:numId w:val="1001"/>
        </w:numPr>
      </w:pPr>
      <w:r>
        <w:rPr>
          <w:b/>
          <w:bCs/>
        </w:rPr>
        <w:t xml:space="preserve">Can Wabtec sustain modest margin expansion despite tariffs and inflation?</w:t>
      </w:r>
    </w:p>
    <w:p>
      <w:pPr>
        <w:pStyle w:val="Compact"/>
        <w:numPr>
          <w:ilvl w:val="0"/>
          <w:numId w:val="1001"/>
        </w:numPr>
      </w:pPr>
      <w:r>
        <w:rPr>
          <w:b/>
          <w:bCs/>
        </w:rPr>
        <w:t xml:space="preserve">How much of the strong growth/backlog is organic versus acquired?</w:t>
      </w:r>
    </w:p>
    <w:p>
      <w:pPr>
        <w:pStyle w:val="Compact"/>
        <w:numPr>
          <w:ilvl w:val="0"/>
          <w:numId w:val="1001"/>
        </w:numPr>
      </w:pPr>
      <w:r>
        <w:rPr>
          <w:b/>
          <w:bCs/>
        </w:rPr>
        <w:t xml:space="preserve">Will management again raise 2026 guidance, or retain a prudent posture given inputs, North American railcar weakness, and project timing?</w:t>
      </w:r>
    </w:p>
    <w:p>
      <w:pPr>
        <w:pStyle w:val="FirstParagraph"/>
      </w:pPr>
      <w:r>
        <w:t xml:space="preserve">The setup is constructive, but expectations are higher after a strong 1Q and a stock that closed July 21 at</w:t>
      </w:r>
      <w:r>
        <w:t xml:space="preserve"> </w:t>
      </w:r>
      <w:r>
        <w:rPr>
          <w:b/>
          <w:bCs/>
        </w:rPr>
        <w:t xml:space="preserve">$263.57</w:t>
      </w:r>
      <w:r>
        <w:t xml:space="preserve">, up roughly</w:t>
      </w:r>
      <w:r>
        <w:t xml:space="preserve"> </w:t>
      </w:r>
      <w:r>
        <w:rPr>
          <w:b/>
          <w:bCs/>
        </w:rPr>
        <w:t xml:space="preserve">22% from the January 2 close</w:t>
      </w:r>
      <w:r>
        <w:t xml:space="preserve"> </w:t>
      </w:r>
      <w:r>
        <w:t xml:space="preserve">and only about 7% below its June 25 high.</w:t>
      </w:r>
    </w:p>
    <w:p>
      <w:r>
        <w:pict>
          <v:rect style="width:0;height:1.5pt" o:hralign="center" o:hrstd="t" o:hr="t"/>
        </w:pict>
      </w:r>
    </w:p>
    <w:bookmarkEnd w:id="9"/>
    <w:bookmarkStart w:id="10" w:name="what-wabtec-last-told-investors"/>
    <w:p>
      <w:pPr>
        <w:pStyle w:val="Heading2"/>
      </w:pPr>
      <w:r>
        <w:t xml:space="preserve">What Wabtec last told investors</w:t>
      </w:r>
    </w:p>
    <w:p>
      <w:pPr>
        <w:pStyle w:val="FirstParagraph"/>
      </w:pPr>
      <w:r>
        <w:t xml:space="preserve">In 1Q26, Wabtec delivered a strong start to the year:</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Metric</w:t>
            </w:r>
          </w:p>
        </w:tc>
        <w:tc>
          <w:tcPr/>
          <w:p>
            <w:pPr>
              <w:pStyle w:val="Compact"/>
              <w:jc w:val="right"/>
            </w:pPr>
            <w:r>
              <w:t xml:space="preserve">1Q26 result</w:t>
            </w:r>
          </w:p>
        </w:tc>
        <w:tc>
          <w:tcPr/>
          <w:p>
            <w:pPr>
              <w:pStyle w:val="Compact"/>
              <w:jc w:val="right"/>
            </w:pPr>
            <w:r>
              <w:t xml:space="preserve">YoY change</w:t>
            </w:r>
          </w:p>
        </w:tc>
      </w:tr>
      <w:tr>
        <w:tc>
          <w:tcPr/>
          <w:p>
            <w:pPr>
              <w:pStyle w:val="Compact"/>
            </w:pPr>
            <w:r>
              <w:t xml:space="preserve">Revenue</w:t>
            </w:r>
          </w:p>
        </w:tc>
        <w:tc>
          <w:tcPr/>
          <w:p>
            <w:pPr>
              <w:pStyle w:val="Compact"/>
              <w:jc w:val="right"/>
            </w:pPr>
            <w:r>
              <w:rPr>
                <w:b/>
                <w:bCs/>
              </w:rPr>
              <w:t xml:space="preserve">$2.95B</w:t>
            </w:r>
          </w:p>
        </w:tc>
        <w:tc>
          <w:tcPr/>
          <w:p>
            <w:pPr>
              <w:pStyle w:val="Compact"/>
              <w:jc w:val="right"/>
            </w:pPr>
            <w:r>
              <w:rPr>
                <w:b/>
                <w:bCs/>
              </w:rPr>
              <w:t xml:space="preserve">+13.0%</w:t>
            </w:r>
          </w:p>
        </w:tc>
      </w:tr>
      <w:tr>
        <w:tc>
          <w:tcPr/>
          <w:p>
            <w:pPr>
              <w:pStyle w:val="Compact"/>
            </w:pPr>
            <w:r>
              <w:t xml:space="preserve">Adjusted operating margin</w:t>
            </w:r>
          </w:p>
        </w:tc>
        <w:tc>
          <w:tcPr/>
          <w:p>
            <w:pPr>
              <w:pStyle w:val="Compact"/>
              <w:jc w:val="right"/>
            </w:pPr>
            <w:r>
              <w:rPr>
                <w:b/>
                <w:bCs/>
              </w:rPr>
              <w:t xml:space="preserve">21.9%</w:t>
            </w:r>
          </w:p>
        </w:tc>
        <w:tc>
          <w:tcPr/>
          <w:p>
            <w:pPr>
              <w:pStyle w:val="Compact"/>
              <w:jc w:val="right"/>
            </w:pPr>
            <w:r>
              <w:rPr>
                <w:b/>
                <w:bCs/>
              </w:rPr>
              <w:t xml:space="preserve">+20 bps</w:t>
            </w:r>
          </w:p>
        </w:tc>
      </w:tr>
      <w:tr>
        <w:tc>
          <w:tcPr/>
          <w:p>
            <w:pPr>
              <w:pStyle w:val="Compact"/>
            </w:pPr>
            <w:r>
              <w:t xml:space="preserve">Adjusted EPS</w:t>
            </w:r>
          </w:p>
        </w:tc>
        <w:tc>
          <w:tcPr/>
          <w:p>
            <w:pPr>
              <w:pStyle w:val="Compact"/>
              <w:jc w:val="right"/>
            </w:pPr>
            <w:r>
              <w:rPr>
                <w:b/>
                <w:bCs/>
              </w:rPr>
              <w:t xml:space="preserve">$2.71</w:t>
            </w:r>
          </w:p>
        </w:tc>
        <w:tc>
          <w:tcPr/>
          <w:p>
            <w:pPr>
              <w:pStyle w:val="Compact"/>
              <w:jc w:val="right"/>
            </w:pPr>
            <w:r>
              <w:rPr>
                <w:b/>
                <w:bCs/>
              </w:rPr>
              <w:t xml:space="preserve">+18.9%</w:t>
            </w:r>
          </w:p>
        </w:tc>
      </w:tr>
      <w:tr>
        <w:tc>
          <w:tcPr/>
          <w:p>
            <w:pPr>
              <w:pStyle w:val="Compact"/>
            </w:pPr>
            <w:r>
              <w:t xml:space="preserve">Operating cash flow</w:t>
            </w:r>
          </w:p>
        </w:tc>
        <w:tc>
          <w:tcPr/>
          <w:p>
            <w:pPr>
              <w:pStyle w:val="Compact"/>
              <w:jc w:val="right"/>
            </w:pPr>
            <w:r>
              <w:rPr>
                <w:b/>
                <w:bCs/>
              </w:rPr>
              <w:t xml:space="preserve">$199M</w:t>
            </w:r>
          </w:p>
        </w:tc>
        <w:tc>
          <w:tcPr/>
          <w:p>
            <w:pPr>
              <w:pStyle w:val="Compact"/>
              <w:jc w:val="right"/>
            </w:pPr>
            <w:r>
              <w:t xml:space="preserve">+4%</w:t>
            </w:r>
          </w:p>
        </w:tc>
      </w:tr>
      <w:tr>
        <w:tc>
          <w:tcPr/>
          <w:p>
            <w:pPr>
              <w:pStyle w:val="Compact"/>
            </w:pPr>
            <w:r>
              <w:t xml:space="preserve">12-month backlog</w:t>
            </w:r>
          </w:p>
        </w:tc>
        <w:tc>
          <w:tcPr/>
          <w:p>
            <w:pPr>
              <w:pStyle w:val="Compact"/>
              <w:jc w:val="right"/>
            </w:pPr>
            <w:r>
              <w:rPr>
                <w:b/>
                <w:bCs/>
              </w:rPr>
              <w:t xml:space="preserve">$9.25B</w:t>
            </w:r>
          </w:p>
        </w:tc>
        <w:tc>
          <w:tcPr/>
          <w:p>
            <w:pPr>
              <w:pStyle w:val="Compact"/>
              <w:jc w:val="right"/>
            </w:pPr>
            <w:r>
              <w:rPr>
                <w:b/>
                <w:bCs/>
              </w:rPr>
              <w:t xml:space="preserve">+12.8%</w:t>
            </w:r>
          </w:p>
        </w:tc>
      </w:tr>
      <w:tr>
        <w:tc>
          <w:tcPr/>
          <w:p>
            <w:pPr>
              <w:pStyle w:val="Compact"/>
            </w:pPr>
            <w:r>
              <w:t xml:space="preserve">Total backlog</w:t>
            </w:r>
          </w:p>
        </w:tc>
        <w:tc>
          <w:tcPr/>
          <w:p>
            <w:pPr>
              <w:pStyle w:val="Compact"/>
              <w:jc w:val="right"/>
            </w:pPr>
            <w:r>
              <w:rPr>
                <w:b/>
                <w:bCs/>
              </w:rPr>
              <w:t xml:space="preserve">$30.80B</w:t>
            </w:r>
          </w:p>
        </w:tc>
        <w:tc>
          <w:tcPr/>
          <w:p>
            <w:pPr>
              <w:pStyle w:val="Compact"/>
              <w:jc w:val="right"/>
            </w:pPr>
            <w:r>
              <w:rPr>
                <w:b/>
                <w:bCs/>
              </w:rPr>
              <w:t xml:space="preserve">+38.1%</w:t>
            </w:r>
          </w:p>
        </w:tc>
      </w:tr>
    </w:tbl>
    <w:p>
      <w:pPr>
        <w:pStyle w:val="BodyText"/>
      </w:pPr>
      <w:r>
        <w:t xml:space="preserve">Following the quarter, management raised its</w:t>
      </w:r>
      <w:r>
        <w:t xml:space="preserve"> </w:t>
      </w:r>
      <w:r>
        <w:rPr>
          <w:b/>
          <w:bCs/>
        </w:rPr>
        <w:t xml:space="preserve">2026 adjusted EPS outlook to</w:t>
      </w:r>
      <w:r>
        <w:rPr>
          <w:b/>
          <w:bCs/>
        </w:rPr>
        <w:t xml:space="preserve"> </w:t>
      </w:r>
      <m:oMath>
        <m:r>
          <m:t>10.25</m:t>
        </m:r>
        <m:r>
          <m:rPr>
            <m:sty m:val="p"/>
          </m:rPr>
          <m:t>–</m:t>
        </m:r>
      </m:oMath>
      <w:r>
        <w:rPr>
          <w:b/>
          <w:bCs/>
        </w:rPr>
        <w:t xml:space="preserve">10.65</w:t>
      </w:r>
      <w:r>
        <w:t xml:space="preserve">, from a prior range whose midpoint was</w:t>
      </w:r>
      <w:r>
        <w:t xml:space="preserve"> </w:t>
      </w:r>
      <m:oMath>
        <m:r>
          <m:t>0.20</m:t>
        </m:r>
        <m:r>
          <m:t>l</m:t>
        </m:r>
        <m:r>
          <m:t>o</m:t>
        </m:r>
        <m:r>
          <m:t>w</m:t>
        </m:r>
        <m:r>
          <m:t>e</m:t>
        </m:r>
        <m:r>
          <m:t>r</m:t>
        </m:r>
        <m:r>
          <m:rPr>
            <m:sty m:val="p"/>
          </m:rPr>
          <m:t>.</m:t>
        </m:r>
        <m:r>
          <m:t>I</m:t>
        </m:r>
        <m:r>
          <m:t>t</m:t>
        </m:r>
        <m:r>
          <m:t>m</m:t>
        </m:r>
        <m:r>
          <m:t>a</m:t>
        </m:r>
        <m:r>
          <m:t>i</m:t>
        </m:r>
        <m:r>
          <m:t>n</m:t>
        </m:r>
        <m:r>
          <m:t>t</m:t>
        </m:r>
        <m:r>
          <m:t>a</m:t>
        </m:r>
        <m:r>
          <m:t>i</m:t>
        </m:r>
        <m:r>
          <m:t>n</m:t>
        </m:r>
        <m:r>
          <m:t>e</m:t>
        </m:r>
        <m:r>
          <m:t>d</m:t>
        </m:r>
        <m:r>
          <m:t>r</m:t>
        </m:r>
        <m:r>
          <m:t>e</m:t>
        </m:r>
        <m:r>
          <m:t>v</m:t>
        </m:r>
        <m:r>
          <m:t>e</m:t>
        </m:r>
        <m:r>
          <m:t>n</m:t>
        </m:r>
        <m:r>
          <m:t>u</m:t>
        </m:r>
        <m:r>
          <m:t>e</m:t>
        </m:r>
        <m:r>
          <m:t>g</m:t>
        </m:r>
        <m:r>
          <m:t>u</m:t>
        </m:r>
        <m:r>
          <m:t>i</m:t>
        </m:r>
        <m:r>
          <m:t>d</m:t>
        </m:r>
        <m:r>
          <m:t>a</m:t>
        </m:r>
        <m:r>
          <m:t>n</m:t>
        </m:r>
        <m:r>
          <m:t>c</m:t>
        </m:r>
        <m:r>
          <m:t>e</m:t>
        </m:r>
        <m:r>
          <m:t>o</m:t>
        </m:r>
        <m:r>
          <m:t>f</m:t>
        </m:r>
        <m:r>
          <m:rPr>
            <m:sty m:val="p"/>
          </m:rPr>
          <m:t>*</m:t>
        </m:r>
        <m:r>
          <m:rPr>
            <m:sty m:val="p"/>
          </m:rPr>
          <m:t>*</m:t>
        </m:r>
      </m:oMath>
      <w:r>
        <w:t xml:space="preserve">12.19B–$12.49B**, implying that the upgrade was driven by better profitability rather than stronger sales assumptions.</w:t>
      </w:r>
    </w:p>
    <w:p>
      <w:pPr>
        <w:pStyle w:val="BodyText"/>
      </w:pPr>
      <w:r>
        <w:t xml:space="preserve">That distinction is important. Management characterized roughly half of the $0.20 midpoint EPS increase as operational improvement and half as non-operating favorability, principally foreign-exchange effects. The company still expects a roughly</w:t>
      </w:r>
      <w:r>
        <w:t xml:space="preserve"> </w:t>
      </w:r>
      <w:r>
        <w:rPr>
          <w:b/>
          <w:bCs/>
        </w:rPr>
        <w:t xml:space="preserve">24.5% full-year adjusted tax rate</w:t>
      </w:r>
      <w:r>
        <w:t xml:space="preserve">, meaning the favorable 1Q tax timing should not be extrapolated.</w:t>
      </w:r>
    </w:p>
    <w:p>
      <w:r>
        <w:pict>
          <v:rect style="width:0;height:1.5pt" o:hralign="center" o:hrstd="t" o:hr="t"/>
        </w:pict>
      </w:r>
    </w:p>
    <w:bookmarkEnd w:id="10"/>
    <w:bookmarkStart w:id="12" w:name="core-2q-setup"/>
    <w:p>
      <w:pPr>
        <w:pStyle w:val="Heading2"/>
      </w:pPr>
      <w:r>
        <w:t xml:space="preserve">Core 2Q setup</w:t>
      </w:r>
    </w:p>
    <w:bookmarkStart w:id="11" w:name="X91b6ae5a1fb8543bd2948eac90913f47a567428"/>
    <w:p>
      <w:pPr>
        <w:pStyle w:val="Heading3"/>
      </w:pPr>
      <w:r>
        <w:t xml:space="preserve">1. Management effectively guided to another solid, but not necessarily accelerating, quarter</w:t>
      </w:r>
    </w:p>
    <w:p>
      <w:pPr>
        <w:pStyle w:val="FirstParagraph"/>
      </w:pPr>
      <w:r>
        <w:t xml:space="preserve">On the 1Q call, CFO John Olin said 2Q should look</w:t>
      </w:r>
      <w:r>
        <w:t xml:space="preserve"> </w:t>
      </w:r>
      <w:r>
        <w:rPr>
          <w:b/>
          <w:bCs/>
        </w:rPr>
        <w:t xml:space="preserve">“a lot like” 1Q</w:t>
      </w:r>
      <w:r>
        <w:t xml:space="preserve"> </w:t>
      </w:r>
      <w:r>
        <w:t xml:space="preserve">in revenue growth, margin growth, and absolute EPS—</w:t>
      </w:r>
      <w:r>
        <w:rPr>
          <w:b/>
          <w:bCs/>
        </w:rPr>
        <w:t xml:space="preserve">excluding the 1Q non-operating benefits</w:t>
      </w:r>
      <w:r>
        <w:t xml:space="preserve">.</w:t>
      </w:r>
    </w:p>
    <w:p>
      <w:pPr>
        <w:pStyle w:val="BodyText"/>
      </w:pPr>
      <w:r>
        <w:t xml:space="preserve">That points investors toward a quarter with:</w:t>
      </w:r>
    </w:p>
    <w:p>
      <w:pPr>
        <w:pStyle w:val="Compact"/>
        <w:numPr>
          <w:ilvl w:val="0"/>
          <w:numId w:val="1002"/>
        </w:numPr>
      </w:pPr>
      <w:r>
        <w:t xml:space="preserve">Continued double-digit reported revenue growth, supported by acquisitions and foreign exchange;</w:t>
      </w:r>
    </w:p>
    <w:p>
      <w:pPr>
        <w:pStyle w:val="Compact"/>
        <w:numPr>
          <w:ilvl w:val="0"/>
          <w:numId w:val="1002"/>
        </w:numPr>
      </w:pPr>
      <w:r>
        <w:t xml:space="preserve">Modest year-over-year margin improvement, rather than a major step-up;</w:t>
      </w:r>
    </w:p>
    <w:p>
      <w:pPr>
        <w:pStyle w:val="Compact"/>
        <w:numPr>
          <w:ilvl w:val="0"/>
          <w:numId w:val="1002"/>
        </w:numPr>
      </w:pPr>
      <w:r>
        <w:t xml:space="preserve">A lower-quality earnings comparison versus 1Q if below-the-line FX/tax benefits normalize;</w:t>
      </w:r>
    </w:p>
    <w:p>
      <w:pPr>
        <w:pStyle w:val="Compact"/>
        <w:numPr>
          <w:ilvl w:val="0"/>
          <w:numId w:val="1002"/>
        </w:numPr>
      </w:pPr>
      <w:r>
        <w:t xml:space="preserve">Continued mix volatility within Freight, with Equipment strength offset by weaker modernization-related Services revenue.</w:t>
      </w:r>
    </w:p>
    <w:p>
      <w:pPr>
        <w:pStyle w:val="FirstParagraph"/>
      </w:pPr>
      <w:r>
        <w:t xml:space="preserve">The key takeaway:</w:t>
      </w:r>
      <w:r>
        <w:t xml:space="preserve"> </w:t>
      </w:r>
      <w:r>
        <w:rPr>
          <w:b/>
          <w:bCs/>
        </w:rPr>
        <w:t xml:space="preserve">a sequential decline from 1Q adjusted EPS would not necessarily signal a weaker operating quarter</w:t>
      </w:r>
      <w:r>
        <w:t xml:space="preserve"> </w:t>
      </w:r>
      <w:r>
        <w:t xml:space="preserve">if the driver is normalization of FX and tax benefits.</w:t>
      </w:r>
    </w:p>
    <w:p>
      <w:r>
        <w:pict>
          <v:rect style="width:0;height:1.5pt" o:hralign="center" o:hrstd="t" o:hr="t"/>
        </w:pict>
      </w:r>
    </w:p>
    <w:bookmarkEnd w:id="11"/>
    <w:bookmarkEnd w:id="12"/>
    <w:bookmarkStart w:id="16" w:name="the-metrics-that-matter-most"/>
    <w:p>
      <w:pPr>
        <w:pStyle w:val="Heading2"/>
      </w:pPr>
      <w:r>
        <w:t xml:space="preserve">The metrics that matter most</w:t>
      </w:r>
    </w:p>
    <w:bookmarkStart w:id="13" w:name="Xf48766d850edb2fb8b991e336517f6212fa9124"/>
    <w:p>
      <w:pPr>
        <w:pStyle w:val="Heading3"/>
      </w:pPr>
      <w:r>
        <w:t xml:space="preserve">Revenue and mix: Equipment remains strong; Services remains the offset</w:t>
      </w:r>
    </w:p>
    <w:p>
      <w:pPr>
        <w:pStyle w:val="FirstParagraph"/>
      </w:pPr>
      <w:r>
        <w:t xml:space="preserve">Freight revenue increased 11.3% in 1Q, driven by a 52.5% jump in Equipment revenue, including locomotive deliveries and mining activity. Conversely, Services revenue fell 17.3% as expected, reflecting lower modernization deliveries.</w:t>
      </w:r>
    </w:p>
    <w:p>
      <w:pPr>
        <w:pStyle w:val="BodyText"/>
      </w:pPr>
      <w:r>
        <w:t xml:space="preserve">For 2Q, management specifically guided to:</w:t>
      </w:r>
    </w:p>
    <w:p>
      <w:pPr>
        <w:pStyle w:val="Compact"/>
        <w:numPr>
          <w:ilvl w:val="0"/>
          <w:numId w:val="1003"/>
        </w:numPr>
      </w:pPr>
      <w:r>
        <w:rPr>
          <w:b/>
          <w:bCs/>
        </w:rPr>
        <w:t xml:space="preserve">Another quarter of strong Equipment growth</w:t>
      </w:r>
    </w:p>
    <w:p>
      <w:pPr>
        <w:pStyle w:val="Compact"/>
        <w:numPr>
          <w:ilvl w:val="0"/>
          <w:numId w:val="1003"/>
        </w:numPr>
      </w:pPr>
      <w:r>
        <w:rPr>
          <w:b/>
          <w:bCs/>
        </w:rPr>
        <w:t xml:space="preserve">Lower year-over-year Services revenue</w:t>
      </w:r>
      <w:r>
        <w:t xml:space="preserve">, again due to lower modernization deliveries</w:t>
      </w:r>
    </w:p>
    <w:p>
      <w:pPr>
        <w:pStyle w:val="FirstParagraph"/>
      </w:pPr>
      <w:r>
        <w:t xml:space="preserve">Investors should therefore avoid overreacting to product-line mix. Wabtec has emphasized that locomotives and modernization projects can move between Equipment and Services depending on delivery schedules. The more useful measure is combined locomotive/modernization activity and the resulting Freight segment profitability.</w:t>
      </w:r>
    </w:p>
    <w:p>
      <w:pPr>
        <w:pStyle w:val="BodyText"/>
      </w:pPr>
      <w:r>
        <w:rPr>
          <w:b/>
          <w:bCs/>
        </w:rPr>
        <w:t xml:space="preserve">Watch for:</w:t>
      </w:r>
    </w:p>
    <w:p>
      <w:pPr>
        <w:pStyle w:val="Compact"/>
        <w:numPr>
          <w:ilvl w:val="0"/>
          <w:numId w:val="1004"/>
        </w:numPr>
      </w:pPr>
      <w:r>
        <w:t xml:space="preserve">Whether Services declines moderate or worsen;</w:t>
      </w:r>
    </w:p>
    <w:p>
      <w:pPr>
        <w:pStyle w:val="Compact"/>
        <w:numPr>
          <w:ilvl w:val="0"/>
          <w:numId w:val="1004"/>
        </w:numPr>
      </w:pPr>
      <w:r>
        <w:t xml:space="preserve">Whether components remain pressured by weak North American railcar builds;</w:t>
      </w:r>
    </w:p>
    <w:p>
      <w:pPr>
        <w:pStyle w:val="Compact"/>
        <w:numPr>
          <w:ilvl w:val="0"/>
          <w:numId w:val="1004"/>
        </w:numPr>
      </w:pPr>
      <w:r>
        <w:t xml:space="preserve">Digital Intelligence growth and margins, particularly from Inspection Technologies and Frauscher;</w:t>
      </w:r>
    </w:p>
    <w:p>
      <w:pPr>
        <w:pStyle w:val="Compact"/>
        <w:numPr>
          <w:ilvl w:val="0"/>
          <w:numId w:val="1004"/>
        </w:numPr>
      </w:pPr>
      <w:r>
        <w:t xml:space="preserve">Any evidence that EVO modernization commercialization is beginning to translate into orders or a stronger future Services pipeline.</w:t>
      </w:r>
    </w:p>
    <w:bookmarkEnd w:id="13"/>
    <w:bookmarkStart w:id="14" w:name="margins-the-central-swing-factor"/>
    <w:p>
      <w:pPr>
        <w:pStyle w:val="Heading3"/>
      </w:pPr>
      <w:r>
        <w:t xml:space="preserve">Margins: the central swing factor</w:t>
      </w:r>
    </w:p>
    <w:p>
      <w:pPr>
        <w:pStyle w:val="FirstParagraph"/>
      </w:pPr>
      <w:r>
        <w:t xml:space="preserve">Wabtec grew 1Q adjusted operating margin by 20 bps to 21.9% despite tariff costs, unfavorable mix, a Digital-project exit, and higher operating expenses from acquisitions.</w:t>
      </w:r>
    </w:p>
    <w:p>
      <w:pPr>
        <w:pStyle w:val="BodyText"/>
      </w:pPr>
      <w:r>
        <w:t xml:space="preserve">The margin bridge remains mixed:</w:t>
      </w:r>
    </w:p>
    <w:p>
      <w:pPr>
        <w:pStyle w:val="BodyText"/>
      </w:pPr>
      <w:r>
        <w:rPr>
          <w:b/>
          <w:bCs/>
        </w:rPr>
        <w:t xml:space="preserve">Tailwinds</w:t>
      </w:r>
    </w:p>
    <w:p>
      <w:pPr>
        <w:pStyle w:val="Compact"/>
        <w:numPr>
          <w:ilvl w:val="0"/>
          <w:numId w:val="1005"/>
        </w:numPr>
      </w:pPr>
      <w:r>
        <w:t xml:space="preserve">Productivity, lean initiatives, portfolio optimization, and integration savings;</w:t>
      </w:r>
    </w:p>
    <w:p>
      <w:pPr>
        <w:pStyle w:val="Compact"/>
        <w:numPr>
          <w:ilvl w:val="0"/>
          <w:numId w:val="1005"/>
        </w:numPr>
      </w:pPr>
      <w:r>
        <w:t xml:space="preserve">Contractual price escalators;</w:t>
      </w:r>
    </w:p>
    <w:p>
      <w:pPr>
        <w:pStyle w:val="Compact"/>
        <w:numPr>
          <w:ilvl w:val="0"/>
          <w:numId w:val="1005"/>
        </w:numPr>
      </w:pPr>
      <w:r>
        <w:t xml:space="preserve">Higher-margin acquisitions, especially in Digital and Transit;</w:t>
      </w:r>
    </w:p>
    <w:p>
      <w:pPr>
        <w:pStyle w:val="Compact"/>
        <w:numPr>
          <w:ilvl w:val="0"/>
          <w:numId w:val="1005"/>
        </w:numPr>
      </w:pPr>
      <w:r>
        <w:t xml:space="preserve">Improving Transit mix after the Dellner acquisition.</w:t>
      </w:r>
    </w:p>
    <w:p>
      <w:pPr>
        <w:pStyle w:val="FirstParagraph"/>
      </w:pPr>
      <w:r>
        <w:rPr>
          <w:b/>
          <w:bCs/>
        </w:rPr>
        <w:t xml:space="preserve">Headwinds</w:t>
      </w:r>
    </w:p>
    <w:p>
      <w:pPr>
        <w:pStyle w:val="Compact"/>
        <w:numPr>
          <w:ilvl w:val="0"/>
          <w:numId w:val="1006"/>
        </w:numPr>
      </w:pPr>
      <w:r>
        <w:t xml:space="preserve">Tariff costs;</w:t>
      </w:r>
    </w:p>
    <w:p>
      <w:pPr>
        <w:pStyle w:val="Compact"/>
        <w:numPr>
          <w:ilvl w:val="0"/>
          <w:numId w:val="1006"/>
        </w:numPr>
      </w:pPr>
      <w:r>
        <w:t xml:space="preserve">Higher prices for metals, transportation, electronics/memory chips, and precious metals;</w:t>
      </w:r>
    </w:p>
    <w:p>
      <w:pPr>
        <w:pStyle w:val="Compact"/>
        <w:numPr>
          <w:ilvl w:val="0"/>
          <w:numId w:val="1006"/>
        </w:numPr>
      </w:pPr>
      <w:r>
        <w:t xml:space="preserve">Roughly 40% of the cost base not covered by price escalators;</w:t>
      </w:r>
    </w:p>
    <w:p>
      <w:pPr>
        <w:pStyle w:val="Compact"/>
        <w:numPr>
          <w:ilvl w:val="0"/>
          <w:numId w:val="1006"/>
        </w:numPr>
      </w:pPr>
      <w:r>
        <w:t xml:space="preserve">Higher SG&amp;A intensity from acquired businesses;</w:t>
      </w:r>
    </w:p>
    <w:p>
      <w:pPr>
        <w:pStyle w:val="Compact"/>
        <w:numPr>
          <w:ilvl w:val="0"/>
          <w:numId w:val="1006"/>
        </w:numPr>
      </w:pPr>
      <w:r>
        <w:t xml:space="preserve">Purchase-accounting amortization and integration-related expenses.</w:t>
      </w:r>
    </w:p>
    <w:p>
      <w:pPr>
        <w:pStyle w:val="FirstParagraph"/>
      </w:pPr>
      <w:r>
        <w:t xml:space="preserve">Management’s prior message was that tariff pressure would remain most acute in the first half, plateau in 2Q, and then ease in the second half as the company laps elevated tariff costs. For 2Q, investors should focus less on the absolute margin and more on whether management still sees</w:t>
      </w:r>
      <w:r>
        <w:t xml:space="preserve"> </w:t>
      </w:r>
      <w:r>
        <w:rPr>
          <w:b/>
          <w:bCs/>
        </w:rPr>
        <w:t xml:space="preserve">second-half relief</w:t>
      </w:r>
      <w:r>
        <w:t xml:space="preserve">.</w:t>
      </w:r>
    </w:p>
    <w:bookmarkEnd w:id="14"/>
    <w:bookmarkStart w:id="15" w:name="X567703996a8c1dcae3c2c02622217559722565b"/>
    <w:p>
      <w:pPr>
        <w:pStyle w:val="Heading3"/>
      </w:pPr>
      <w:r>
        <w:t xml:space="preserve">Backlog: a durable positive, but assess composition</w:t>
      </w:r>
    </w:p>
    <w:p>
      <w:pPr>
        <w:pStyle w:val="FirstParagraph"/>
      </w:pPr>
      <w:r>
        <w:t xml:space="preserve">The headline backlog is a major support for the Wabtec thesis:</w:t>
      </w:r>
    </w:p>
    <w:p>
      <w:pPr>
        <w:pStyle w:val="Compact"/>
        <w:numPr>
          <w:ilvl w:val="0"/>
          <w:numId w:val="1007"/>
        </w:numPr>
      </w:pPr>
      <w:r>
        <w:t xml:space="preserve">Total backlog reached</w:t>
      </w:r>
      <w:r>
        <w:t xml:space="preserve"> </w:t>
      </w:r>
      <w:r>
        <w:rPr>
          <w:b/>
          <w:bCs/>
        </w:rPr>
        <w:t xml:space="preserve">$30.8B</w:t>
      </w:r>
      <w:r>
        <w:t xml:space="preserve"> </w:t>
      </w:r>
      <w:r>
        <w:t xml:space="preserve">at March 31.</w:t>
      </w:r>
    </w:p>
    <w:p>
      <w:pPr>
        <w:pStyle w:val="Compact"/>
        <w:numPr>
          <w:ilvl w:val="0"/>
          <w:numId w:val="1007"/>
        </w:numPr>
      </w:pPr>
      <w:r>
        <w:t xml:space="preserve">The 12-month backlog reached</w:t>
      </w:r>
      <w:r>
        <w:t xml:space="preserve"> </w:t>
      </w:r>
      <w:r>
        <w:rPr>
          <w:b/>
          <w:bCs/>
        </w:rPr>
        <w:t xml:space="preserve">$9.25B</w:t>
      </w:r>
      <w:r>
        <w:t xml:space="preserve">, providing meaningful near-term visibility.</w:t>
      </w:r>
    </w:p>
    <w:p>
      <w:pPr>
        <w:pStyle w:val="Compact"/>
        <w:numPr>
          <w:ilvl w:val="0"/>
          <w:numId w:val="1007"/>
        </w:numPr>
      </w:pPr>
      <w:r>
        <w:t xml:space="preserve">Freight backlog was</w:t>
      </w:r>
      <w:r>
        <w:t xml:space="preserve"> </w:t>
      </w:r>
      <m:oMath>
        <m:r>
          <m:t>25.2</m:t>
        </m:r>
        <m:r>
          <m:t>B</m:t>
        </m:r>
        <m:r>
          <m:rPr>
            <m:sty m:val="p"/>
          </m:rPr>
          <m:t>*</m:t>
        </m:r>
        <m:r>
          <m:rPr>
            <m:sty m:val="p"/>
          </m:rPr>
          <m:t>*</m:t>
        </m:r>
        <m:r>
          <m:t>a</m:t>
        </m:r>
        <m:r>
          <m:t>n</m:t>
        </m:r>
        <m:r>
          <m:t>d</m:t>
        </m:r>
        <m:r>
          <m:t>T</m:t>
        </m:r>
        <m:r>
          <m:t>r</m:t>
        </m:r>
        <m:r>
          <m:t>a</m:t>
        </m:r>
        <m:r>
          <m:t>n</m:t>
        </m:r>
        <m:r>
          <m:t>s</m:t>
        </m:r>
        <m:r>
          <m:t>i</m:t>
        </m:r>
        <m:r>
          <m:t>t</m:t>
        </m:r>
        <m:r>
          <m:t>b</m:t>
        </m:r>
        <m:r>
          <m:t>a</m:t>
        </m:r>
        <m:r>
          <m:t>c</m:t>
        </m:r>
        <m:r>
          <m:t>k</m:t>
        </m:r>
        <m:r>
          <m:t>l</m:t>
        </m:r>
        <m:r>
          <m:t>o</m:t>
        </m:r>
        <m:r>
          <m:t>g</m:t>
        </m:r>
        <m:r>
          <m:t>w</m:t>
        </m:r>
        <m:r>
          <m:t>a</m:t>
        </m:r>
        <m:r>
          <m:t>s</m:t>
        </m:r>
        <m:r>
          <m:rPr>
            <m:sty m:val="p"/>
          </m:rPr>
          <m:t>*</m:t>
        </m:r>
        <m:r>
          <m:rPr>
            <m:sty m:val="p"/>
          </m:rPr>
          <m:t>*</m:t>
        </m:r>
      </m:oMath>
      <w:r>
        <w:rPr>
          <w:b/>
          <w:bCs/>
        </w:rPr>
        <w:t xml:space="preserve">5.6B</w:t>
      </w:r>
      <w:r>
        <w:t xml:space="preserve">.</w:t>
      </w:r>
    </w:p>
    <w:p>
      <w:pPr>
        <w:pStyle w:val="FirstParagraph"/>
      </w:pPr>
      <w:r>
        <w:t xml:space="preserve">However, investors should separate acquired backlog from underlying order momentum. Dellner added approximately</w:t>
      </w:r>
      <w:r>
        <w:t xml:space="preserve"> </w:t>
      </w:r>
      <w:r>
        <w:rPr>
          <w:b/>
          <w:bCs/>
        </w:rPr>
        <w:t xml:space="preserve">3 percentage points</w:t>
      </w:r>
      <w:r>
        <w:t xml:space="preserve"> </w:t>
      </w:r>
      <w:r>
        <w:t xml:space="preserve">to enterprise 12-month backlog growth in 1Q. Wabtec still described underlying demand and its international pipeline as strong, but a clean read requires evaluating:</w:t>
      </w:r>
    </w:p>
    <w:p>
      <w:pPr>
        <w:pStyle w:val="Compact"/>
        <w:numPr>
          <w:ilvl w:val="0"/>
          <w:numId w:val="1008"/>
        </w:numPr>
      </w:pPr>
      <w:r>
        <w:t xml:space="preserve">Book-to-bill and organic backlog growth;</w:t>
      </w:r>
    </w:p>
    <w:p>
      <w:pPr>
        <w:pStyle w:val="Compact"/>
        <w:numPr>
          <w:ilvl w:val="0"/>
          <w:numId w:val="1008"/>
        </w:numPr>
      </w:pPr>
      <w:r>
        <w:t xml:space="preserve">International locomotive, mining, and service order conversion;</w:t>
      </w:r>
    </w:p>
    <w:p>
      <w:pPr>
        <w:pStyle w:val="Compact"/>
        <w:numPr>
          <w:ilvl w:val="0"/>
          <w:numId w:val="1008"/>
        </w:numPr>
      </w:pPr>
      <w:r>
        <w:t xml:space="preserve">Transit order activity in Europe and India;</w:t>
      </w:r>
    </w:p>
    <w:p>
      <w:pPr>
        <w:pStyle w:val="Compact"/>
        <w:numPr>
          <w:ilvl w:val="0"/>
          <w:numId w:val="1008"/>
        </w:numPr>
      </w:pPr>
      <w:r>
        <w:t xml:space="preserve">The proportion of backlog expected to convert over the next 12 months.</w:t>
      </w:r>
    </w:p>
    <w:p>
      <w:pPr>
        <w:pStyle w:val="FirstParagraph"/>
      </w:pPr>
      <w:r>
        <w:t xml:space="preserve">Wabtec has said it expects to recognize roughly</w:t>
      </w:r>
      <w:r>
        <w:t xml:space="preserve"> </w:t>
      </w:r>
      <w:r>
        <w:rPr>
          <w:b/>
          <w:bCs/>
        </w:rPr>
        <w:t xml:space="preserve">30% of remaining performance obligations over the next year</w:t>
      </w:r>
      <w:r>
        <w:t xml:space="preserve">, underscoring the significance of backlog for revenue coverage but also the multiyear nature—and associated timing variability—of much of the book.</w:t>
      </w:r>
    </w:p>
    <w:p>
      <w:r>
        <w:pict>
          <v:rect style="width:0;height:1.5pt" o:hralign="center" o:hrstd="t" o:hr="t"/>
        </w:pict>
      </w:r>
    </w:p>
    <w:bookmarkEnd w:id="15"/>
    <w:bookmarkEnd w:id="16"/>
    <w:bookmarkStart w:id="19" w:name="segment-preview"/>
    <w:p>
      <w:pPr>
        <w:pStyle w:val="Heading2"/>
      </w:pPr>
      <w:r>
        <w:t xml:space="preserve">Segment preview</w:t>
      </w:r>
    </w:p>
    <w:bookmarkStart w:id="17" w:name="freight-strong-but-mixed"/>
    <w:p>
      <w:pPr>
        <w:pStyle w:val="Heading3"/>
      </w:pPr>
      <w:r>
        <w:t xml:space="preserve">Freight: strong but mixed</w:t>
      </w:r>
    </w:p>
    <w:p>
      <w:pPr>
        <w:pStyle w:val="FirstParagraph"/>
      </w:pPr>
      <w:r>
        <w:t xml:space="preserve">Freight remains the largest earnings driver. The 2Q question is whether strong locomotive and mining shipments can continue to offset:</w:t>
      </w:r>
    </w:p>
    <w:p>
      <w:pPr>
        <w:pStyle w:val="Compact"/>
        <w:numPr>
          <w:ilvl w:val="0"/>
          <w:numId w:val="1009"/>
        </w:numPr>
      </w:pPr>
      <w:r>
        <w:t xml:space="preserve">Weak North American railcar-build conditions;</w:t>
      </w:r>
    </w:p>
    <w:p>
      <w:pPr>
        <w:pStyle w:val="Compact"/>
        <w:numPr>
          <w:ilvl w:val="0"/>
          <w:numId w:val="1009"/>
        </w:numPr>
      </w:pPr>
      <w:r>
        <w:t xml:space="preserve">Lower modernization deliveries;</w:t>
      </w:r>
    </w:p>
    <w:p>
      <w:pPr>
        <w:pStyle w:val="Compact"/>
        <w:numPr>
          <w:ilvl w:val="0"/>
          <w:numId w:val="1009"/>
        </w:numPr>
      </w:pPr>
      <w:r>
        <w:t xml:space="preserve">Component softness;</w:t>
      </w:r>
    </w:p>
    <w:p>
      <w:pPr>
        <w:pStyle w:val="Compact"/>
        <w:numPr>
          <w:ilvl w:val="0"/>
          <w:numId w:val="1009"/>
        </w:numPr>
      </w:pPr>
      <w:r>
        <w:t xml:space="preserve">Cost inflation and tariffs.</w:t>
      </w:r>
    </w:p>
    <w:p>
      <w:pPr>
        <w:pStyle w:val="FirstParagraph"/>
      </w:pPr>
      <w:r>
        <w:t xml:space="preserve">Management’s North American railcar-build assumption was approximately</w:t>
      </w:r>
      <w:r>
        <w:t xml:space="preserve"> </w:t>
      </w:r>
      <w:r>
        <w:rPr>
          <w:b/>
          <w:bCs/>
        </w:rPr>
        <w:t xml:space="preserve">24,000 cars for 2026</w:t>
      </w:r>
      <w:r>
        <w:t xml:space="preserve">, down 22% from 2025. That creates a meaningful headwind for components, but Wabtec’s broader installed base, international opportunities, mining activity, and Digital portfolio provide diversification.</w:t>
      </w:r>
    </w:p>
    <w:p>
      <w:pPr>
        <w:pStyle w:val="BodyText"/>
      </w:pPr>
      <w:r>
        <w:t xml:space="preserve">The high-value read-through is not simply Freight growth; it is</w:t>
      </w:r>
      <w:r>
        <w:t xml:space="preserve"> </w:t>
      </w:r>
      <w:r>
        <w:rPr>
          <w:b/>
          <w:bCs/>
        </w:rPr>
        <w:t xml:space="preserve">whether Freight adjusted margin can remain resilient near 1Q’s 26.0% despite an unfavorable mix and tariff pressure.</w:t>
      </w:r>
    </w:p>
    <w:bookmarkEnd w:id="17"/>
    <w:bookmarkStart w:id="18" w:name="X5bda379d390065191b377f7af995d2cbe2187fd"/>
    <w:p>
      <w:pPr>
        <w:pStyle w:val="Heading3"/>
      </w:pPr>
      <w:r>
        <w:t xml:space="preserve">Transit: likely the cleaner growth-and-margin story</w:t>
      </w:r>
    </w:p>
    <w:p>
      <w:pPr>
        <w:pStyle w:val="FirstParagraph"/>
      </w:pPr>
      <w:r>
        <w:t xml:space="preserve">Transit grew 17.8% in 1Q, including 11.0% constant-currency growth. Adjusted segment operating margin expanded 200 bps to 16.6%.</w:t>
      </w:r>
    </w:p>
    <w:p>
      <w:pPr>
        <w:pStyle w:val="BodyText"/>
      </w:pPr>
      <w:r>
        <w:t xml:space="preserve">Dellner is strategically important because it adds mission-critical coupler technology, enhances Wabtec’s Transit content per vehicle, and was acquired at margins above both the corporate and Transit averages. Management has also said that Dellner is tracking ahead of plan and that early revenue synergies are emerging.</w:t>
      </w:r>
    </w:p>
    <w:p>
      <w:pPr>
        <w:pStyle w:val="BodyText"/>
      </w:pPr>
      <w:r>
        <w:t xml:space="preserve">For 2Q, the Transit watch list is straightforward:</w:t>
      </w:r>
    </w:p>
    <w:p>
      <w:pPr>
        <w:pStyle w:val="Compact"/>
        <w:numPr>
          <w:ilvl w:val="0"/>
          <w:numId w:val="1010"/>
        </w:numPr>
      </w:pPr>
      <w:r>
        <w:t xml:space="preserve">Continued Dellner contribution and synergy progress;</w:t>
      </w:r>
    </w:p>
    <w:p>
      <w:pPr>
        <w:pStyle w:val="Compact"/>
        <w:numPr>
          <w:ilvl w:val="0"/>
          <w:numId w:val="1010"/>
        </w:numPr>
      </w:pPr>
      <w:r>
        <w:t xml:space="preserve">Sustained margin expansion;</w:t>
      </w:r>
    </w:p>
    <w:p>
      <w:pPr>
        <w:pStyle w:val="Compact"/>
        <w:numPr>
          <w:ilvl w:val="0"/>
          <w:numId w:val="1010"/>
        </w:numPr>
      </w:pPr>
      <w:r>
        <w:t xml:space="preserve">Order conversion from public-transit investment and elevated OEM backlogs;</w:t>
      </w:r>
    </w:p>
    <w:p>
      <w:pPr>
        <w:pStyle w:val="Compact"/>
        <w:numPr>
          <w:ilvl w:val="0"/>
          <w:numId w:val="1010"/>
        </w:numPr>
      </w:pPr>
      <w:r>
        <w:t xml:space="preserve">Any commentary on project delays among rolling-stock manufacturers.</w:t>
      </w:r>
    </w:p>
    <w:p>
      <w:r>
        <w:pict>
          <v:rect style="width:0;height:1.5pt" o:hralign="center" o:hrstd="t" o:hr="t"/>
        </w:pict>
      </w:r>
    </w:p>
    <w:bookmarkEnd w:id="18"/>
    <w:bookmarkEnd w:id="19"/>
    <w:bookmarkStart w:id="20" w:name="guidance-the-most-consequential-item"/>
    <w:p>
      <w:pPr>
        <w:pStyle w:val="Heading2"/>
      </w:pPr>
      <w:r>
        <w:t xml:space="preserve">Guidance: the most consequential item</w:t>
      </w:r>
    </w:p>
    <w:p>
      <w:pPr>
        <w:pStyle w:val="FirstParagraph"/>
      </w:pPr>
      <w:r>
        <w:t xml:space="preserve">Wabtec’s current 2026 framework is:</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2026 guidance</w:t>
            </w:r>
          </w:p>
        </w:tc>
        <w:tc>
          <w:tcPr/>
          <w:p>
            <w:pPr>
              <w:pStyle w:val="Compact"/>
              <w:jc w:val="right"/>
            </w:pPr>
            <w:r>
              <w:t xml:space="preserve">Current outlook</w:t>
            </w:r>
          </w:p>
        </w:tc>
      </w:tr>
      <w:tr>
        <w:tc>
          <w:tcPr/>
          <w:p>
            <w:pPr>
              <w:pStyle w:val="Compact"/>
            </w:pPr>
            <w:r>
              <w:t xml:space="preserve">Revenue</w:t>
            </w:r>
          </w:p>
        </w:tc>
        <w:tc>
          <w:tcPr/>
          <w:p>
            <w:pPr>
              <w:pStyle w:val="Compact"/>
              <w:jc w:val="right"/>
            </w:pPr>
            <m:oMath>
              <m:r>
                <m:t>12.19</m:t>
              </m:r>
              <m:r>
                <m:t>B</m:t>
              </m:r>
              <m:r>
                <m:rPr>
                  <m:sty m:val="p"/>
                </m:rPr>
                <m:t>–</m:t>
              </m:r>
            </m:oMath>
            <w:r>
              <w:rPr>
                <w:b/>
                <w:bCs/>
              </w:rPr>
              <w:t xml:space="preserve">12.49B</w:t>
            </w:r>
          </w:p>
        </w:tc>
      </w:tr>
      <w:tr>
        <w:tc>
          <w:tcPr/>
          <w:p>
            <w:pPr>
              <w:pStyle w:val="Compact"/>
            </w:pPr>
            <w:r>
              <w:t xml:space="preserve">Adjusted EPS</w:t>
            </w:r>
          </w:p>
        </w:tc>
        <w:tc>
          <w:tcPr/>
          <w:p>
            <w:pPr>
              <w:pStyle w:val="Compact"/>
              <w:jc w:val="right"/>
            </w:pPr>
            <m:oMath>
              <m:r>
                <m:t>10.25</m:t>
              </m:r>
              <m:r>
                <m:rPr>
                  <m:sty m:val="p"/>
                </m:rPr>
                <m:t>–</m:t>
              </m:r>
            </m:oMath>
            <w:r>
              <w:rPr>
                <w:b/>
                <w:bCs/>
              </w:rPr>
              <w:t xml:space="preserve">10.65</w:t>
            </w:r>
          </w:p>
        </w:tc>
      </w:tr>
      <w:tr>
        <w:tc>
          <w:tcPr/>
          <w:p>
            <w:pPr>
              <w:pStyle w:val="Compact"/>
            </w:pPr>
            <w:r>
              <w:t xml:space="preserve">Adjusted EPS growth at midpoint</w:t>
            </w:r>
          </w:p>
        </w:tc>
        <w:tc>
          <w:tcPr/>
          <w:p>
            <w:pPr>
              <w:pStyle w:val="Compact"/>
              <w:jc w:val="right"/>
            </w:pPr>
            <w:r>
              <w:rPr>
                <w:b/>
                <w:bCs/>
              </w:rPr>
              <w:t xml:space="preserve">~16.5%</w:t>
            </w:r>
          </w:p>
        </w:tc>
      </w:tr>
      <w:tr>
        <w:tc>
          <w:tcPr/>
          <w:p>
            <w:pPr>
              <w:pStyle w:val="Compact"/>
            </w:pPr>
            <w:r>
              <w:t xml:space="preserve">Cash conversion target</w:t>
            </w:r>
          </w:p>
        </w:tc>
        <w:tc>
          <w:tcPr/>
          <w:p>
            <w:pPr>
              <w:pStyle w:val="Compact"/>
              <w:jc w:val="right"/>
            </w:pPr>
            <w:r>
              <w:rPr>
                <w:b/>
                <w:bCs/>
              </w:rPr>
              <w:t xml:space="preserve">&gt;90% through 2029</w:t>
            </w:r>
          </w:p>
        </w:tc>
      </w:tr>
    </w:tbl>
    <w:p>
      <w:pPr>
        <w:pStyle w:val="BodyText"/>
      </w:pPr>
      <w:r>
        <w:t xml:space="preserve">A</w:t>
      </w:r>
      <w:r>
        <w:t xml:space="preserve"> </w:t>
      </w:r>
      <w:r>
        <w:rPr>
          <w:b/>
          <w:bCs/>
        </w:rPr>
        <w:t xml:space="preserve">raise</w:t>
      </w:r>
      <w:r>
        <w:t xml:space="preserve"> </w:t>
      </w:r>
      <w:r>
        <w:t xml:space="preserve">would be powerful, particularly if it comes from operational improvement rather than FX, tax, or timing. But holding guidance should not automatically be viewed negatively. Management has already highlighted multiple offsetting uncertainties: volatile input costs, tariff effects, lower North American railcar demand, electronic-component inflation, project timing, and the inherently lumpy nature of large equipment deliveries.</w:t>
      </w:r>
    </w:p>
    <w:p>
      <w:pPr>
        <w:pStyle w:val="BodyText"/>
      </w:pPr>
      <w:r>
        <w:t xml:space="preserve">The most constructive outcome would be:</w:t>
      </w:r>
    </w:p>
    <w:p>
      <w:pPr>
        <w:pStyle w:val="Compact"/>
        <w:numPr>
          <w:ilvl w:val="0"/>
          <w:numId w:val="1011"/>
        </w:numPr>
      </w:pPr>
      <w:r>
        <w:t xml:space="preserve">revenue guidance maintained or raised,</w:t>
      </w:r>
    </w:p>
    <w:p>
      <w:pPr>
        <w:pStyle w:val="Compact"/>
        <w:numPr>
          <w:ilvl w:val="0"/>
          <w:numId w:val="1011"/>
        </w:numPr>
      </w:pPr>
      <w:r>
        <w:t xml:space="preserve">EPS guidance raised or narrowed upward,</w:t>
      </w:r>
    </w:p>
    <w:p>
      <w:pPr>
        <w:pStyle w:val="Compact"/>
        <w:numPr>
          <w:ilvl w:val="0"/>
          <w:numId w:val="1011"/>
        </w:numPr>
      </w:pPr>
      <w:r>
        <w:t xml:space="preserve">confirmation that tariff pressure eases in 2H,</w:t>
      </w:r>
    </w:p>
    <w:p>
      <w:pPr>
        <w:pStyle w:val="Compact"/>
        <w:numPr>
          <w:ilvl w:val="0"/>
          <w:numId w:val="1011"/>
        </w:numPr>
      </w:pPr>
      <w:r>
        <w:t xml:space="preserve">and strong confidence in cash conversion and acquisition synergies.</w:t>
      </w:r>
    </w:p>
    <w:p>
      <w:r>
        <w:pict>
          <v:rect style="width:0;height:1.5pt" o:hralign="center" o:hrstd="t" o:hr="t"/>
        </w:pict>
      </w:r>
    </w:p>
    <w:bookmarkEnd w:id="20"/>
    <w:bookmarkStart w:id="21" w:name="X4b95c248ed85628d7055c5d19d3339ebf21d6c8"/>
    <w:p>
      <w:pPr>
        <w:pStyle w:val="Heading2"/>
      </w:pPr>
      <w:r>
        <w:t xml:space="preserve">Balance sheet and cash flow: a secondary, but important, focus</w:t>
      </w:r>
    </w:p>
    <w:p>
      <w:pPr>
        <w:pStyle w:val="FirstParagraph"/>
      </w:pPr>
      <w:r>
        <w:t xml:space="preserve">The Dellner acquisition added leverage, though the company ended 1Q with a stated net-debt leverage ratio of</w:t>
      </w:r>
      <w:r>
        <w:t xml:space="preserve"> </w:t>
      </w:r>
      <w:r>
        <w:rPr>
          <w:b/>
          <w:bCs/>
        </w:rPr>
        <w:t xml:space="preserve">2.3x</w:t>
      </w:r>
      <w:r>
        <w:t xml:space="preserve">, within its 2.0x–2.5x operating range. Wabtec also repurchased</w:t>
      </w:r>
      <w:r>
        <w:t xml:space="preserve"> </w:t>
      </w:r>
      <m:oMath>
        <m:r>
          <m:t>242</m:t>
        </m:r>
        <m:r>
          <m:t>M</m:t>
        </m:r>
        <m:r>
          <m:rPr>
            <m:sty m:val="p"/>
          </m:rPr>
          <m:t>*</m:t>
        </m:r>
        <m:r>
          <m:rPr>
            <m:sty m:val="p"/>
          </m:rPr>
          <m:t>*</m:t>
        </m:r>
        <m:r>
          <m:t>o</m:t>
        </m:r>
        <m:r>
          <m:t>f</m:t>
        </m:r>
        <m:r>
          <m:t>s</m:t>
        </m:r>
        <m:r>
          <m:t>h</m:t>
        </m:r>
        <m:r>
          <m:t>a</m:t>
        </m:r>
        <m:r>
          <m:t>r</m:t>
        </m:r>
        <m:r>
          <m:t>e</m:t>
        </m:r>
        <m:r>
          <m:t>s</m:t>
        </m:r>
        <m:r>
          <m:t>a</m:t>
        </m:r>
        <m:r>
          <m:t>n</m:t>
        </m:r>
        <m:r>
          <m:t>d</m:t>
        </m:r>
        <m:r>
          <m:t>p</m:t>
        </m:r>
        <m:r>
          <m:t>a</m:t>
        </m:r>
        <m:r>
          <m:t>i</m:t>
        </m:r>
        <m:r>
          <m:t>d</m:t>
        </m:r>
        <m:r>
          <m:rPr>
            <m:sty m:val="p"/>
          </m:rPr>
          <m:t>*</m:t>
        </m:r>
        <m:r>
          <m:rPr>
            <m:sty m:val="p"/>
          </m:rPr>
          <m:t>*</m:t>
        </m:r>
      </m:oMath>
      <w:r>
        <w:rPr>
          <w:b/>
          <w:bCs/>
        </w:rPr>
        <w:t xml:space="preserve">53M</w:t>
      </w:r>
      <w:r>
        <w:t xml:space="preserve"> </w:t>
      </w:r>
      <w:r>
        <w:t xml:space="preserve">in dividends during 1Q.</w:t>
      </w:r>
    </w:p>
    <w:p>
      <w:pPr>
        <w:pStyle w:val="BodyText"/>
      </w:pPr>
      <w:r>
        <w:t xml:space="preserve">Investors should monitor:</w:t>
      </w:r>
    </w:p>
    <w:p>
      <w:pPr>
        <w:pStyle w:val="Compact"/>
        <w:numPr>
          <w:ilvl w:val="0"/>
          <w:numId w:val="1012"/>
        </w:numPr>
      </w:pPr>
      <w:r>
        <w:t xml:space="preserve">Working-capital normalization after 1Q receivables growth;</w:t>
      </w:r>
    </w:p>
    <w:p>
      <w:pPr>
        <w:pStyle w:val="Compact"/>
        <w:numPr>
          <w:ilvl w:val="0"/>
          <w:numId w:val="1012"/>
        </w:numPr>
      </w:pPr>
      <w:r>
        <w:t xml:space="preserve">Progress toward full-year cash conversion;</w:t>
      </w:r>
    </w:p>
    <w:p>
      <w:pPr>
        <w:pStyle w:val="Compact"/>
        <w:numPr>
          <w:ilvl w:val="0"/>
          <w:numId w:val="1012"/>
        </w:numPr>
      </w:pPr>
      <w:r>
        <w:t xml:space="preserve">Debt reduction versus further M&amp;A or buybacks;</w:t>
      </w:r>
    </w:p>
    <w:p>
      <w:pPr>
        <w:pStyle w:val="Compact"/>
        <w:numPr>
          <w:ilvl w:val="0"/>
          <w:numId w:val="1012"/>
        </w:numPr>
      </w:pPr>
      <w:r>
        <w:t xml:space="preserve">Any update on the refinancing of debt maturing in late 2026.</w:t>
      </w:r>
    </w:p>
    <w:p>
      <w:pPr>
        <w:pStyle w:val="FirstParagraph"/>
      </w:pPr>
      <w:r>
        <w:t xml:space="preserve">The balance sheet is manageable, but the combination of three sizable acquisitions—Inspection Technologies, Frauscher, and Dellner—raises the importance of integration execution, synergy capture, and cash realization.</w:t>
      </w:r>
    </w:p>
    <w:p>
      <w:r>
        <w:pict>
          <v:rect style="width:0;height:1.5pt" o:hralign="center" o:hrstd="t" o:hr="t"/>
        </w:pict>
      </w:r>
    </w:p>
    <w:bookmarkEnd w:id="21"/>
    <w:bookmarkStart w:id="22" w:name="key-questions-for-the-call"/>
    <w:p>
      <w:pPr>
        <w:pStyle w:val="Heading2"/>
      </w:pPr>
      <w:r>
        <w:t xml:space="preserve">Key questions for the call</w:t>
      </w:r>
    </w:p>
    <w:p>
      <w:pPr>
        <w:pStyle w:val="Compact"/>
        <w:numPr>
          <w:ilvl w:val="0"/>
          <w:numId w:val="1013"/>
        </w:numPr>
      </w:pPr>
      <w:r>
        <w:rPr>
          <w:b/>
          <w:bCs/>
        </w:rPr>
        <w:t xml:space="preserve">Does 2Q operating performance track the “similar to 1Q” framework despite normalization of 1Q FX and tax benefits?</w:t>
      </w:r>
    </w:p>
    <w:p>
      <w:pPr>
        <w:pStyle w:val="Compact"/>
        <w:numPr>
          <w:ilvl w:val="0"/>
          <w:numId w:val="1013"/>
        </w:numPr>
      </w:pPr>
      <w:r>
        <w:rPr>
          <w:b/>
          <w:bCs/>
        </w:rPr>
        <w:t xml:space="preserve">Has the expected tariff plateau occurred, and is second-half margin relief still intact?</w:t>
      </w:r>
    </w:p>
    <w:p>
      <w:pPr>
        <w:pStyle w:val="Compact"/>
        <w:numPr>
          <w:ilvl w:val="0"/>
          <w:numId w:val="1013"/>
        </w:numPr>
      </w:pPr>
      <w:r>
        <w:rPr>
          <w:b/>
          <w:bCs/>
        </w:rPr>
        <w:t xml:space="preserve">What is the organic component of backlog growth and new orders, excluding Dellner and FX?</w:t>
      </w:r>
    </w:p>
    <w:p>
      <w:pPr>
        <w:pStyle w:val="Compact"/>
        <w:numPr>
          <w:ilvl w:val="0"/>
          <w:numId w:val="1013"/>
        </w:numPr>
      </w:pPr>
      <w:r>
        <w:rPr>
          <w:b/>
          <w:bCs/>
        </w:rPr>
        <w:t xml:space="preserve">Are Freight Services/modernization trends stabilizing, and what is the timing for EVO commercialization to affect orders?</w:t>
      </w:r>
    </w:p>
    <w:p>
      <w:pPr>
        <w:pStyle w:val="Compact"/>
        <w:numPr>
          <w:ilvl w:val="0"/>
          <w:numId w:val="1013"/>
        </w:numPr>
      </w:pPr>
      <w:r>
        <w:rPr>
          <w:b/>
          <w:bCs/>
        </w:rPr>
        <w:t xml:space="preserve">How are Dellner, Frauscher, and Inspection Technologies performing against revenue, margin, and synergy plans?</w:t>
      </w:r>
    </w:p>
    <w:p>
      <w:pPr>
        <w:pStyle w:val="Compact"/>
        <w:numPr>
          <w:ilvl w:val="0"/>
          <w:numId w:val="1013"/>
        </w:numPr>
      </w:pPr>
      <w:r>
        <w:rPr>
          <w:b/>
          <w:bCs/>
        </w:rPr>
        <w:t xml:space="preserve">Does management maintain, raise, or narrow its 2026 revenue and adjusted EPS outlook?</w:t>
      </w:r>
    </w:p>
    <w:p>
      <w:pPr>
        <w:pStyle w:val="Compact"/>
        <w:numPr>
          <w:ilvl w:val="0"/>
          <w:numId w:val="1013"/>
        </w:numPr>
      </w:pPr>
      <w:r>
        <w:rPr>
          <w:b/>
          <w:bCs/>
        </w:rPr>
        <w:t xml:space="preserve">What does Wabtec now expect for cash conversion, working capital, buybacks, and debt repayment through year-end?</w:t>
      </w:r>
    </w:p>
    <w:p>
      <w:r>
        <w:pict>
          <v:rect style="width:0;height:1.5pt" o:hralign="center" o:hrstd="t" o:hr="t"/>
        </w:pict>
      </w:r>
    </w:p>
    <w:bookmarkEnd w:id="22"/>
    <w:bookmarkStart w:id="23" w:name="bottom-line"/>
    <w:p>
      <w:pPr>
        <w:pStyle w:val="Heading2"/>
      </w:pPr>
      <w:r>
        <w:t xml:space="preserve">Bottom line</w:t>
      </w:r>
    </w:p>
    <w:p>
      <w:pPr>
        <w:pStyle w:val="FirstParagraph"/>
      </w:pPr>
      <w:r>
        <w:t xml:space="preserve">Wabtec appears positioned for another solid quarter. The company has record backlog, favorable acquisition-driven portfolio mix, international and Transit momentum, and a management team that already raised EPS guidance after 1Q.</w:t>
      </w:r>
    </w:p>
    <w:p>
      <w:pPr>
        <w:pStyle w:val="BodyText"/>
      </w:pPr>
      <w:r>
        <w:t xml:space="preserve">However, the stock’s strong year-to-date performance likely leaves less room for a merely in-line report. The best upside case is a clean repeat of 1Q operational execution, sustained margin resilience through tariff pressure, strong organic order conversion, and a further upward move in 2026 EPS expectations. The downside case is not necessarily weak revenue; it is</w:t>
      </w:r>
      <w:r>
        <w:t xml:space="preserve"> </w:t>
      </w:r>
      <w:r>
        <w:rPr>
          <w:b/>
          <w:bCs/>
        </w:rPr>
        <w:t xml:space="preserve">margin disappointment, weaker-than-expected organic Freight trends, or a more cautious outlook due to input costs, railcar builds, and project timing.</w:t>
      </w:r>
    </w:p>
    <w:bookmarkEnd w:id="23"/>
    <w:bookmarkEnd w:id="24"/>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2026-07-22T00:12:44Z</dcterms:created>
  <dcterms:modified xsi:type="dcterms:W3CDTF">2026-07-22T00:12:44Z</dcterms:modified>
</cp:coreProperties>
</file>

<file path=docProps/custom.xml><?xml version="1.0" encoding="utf-8"?>
<Properties xmlns="http://schemas.openxmlformats.org/officeDocument/2006/custom-properties" xmlns:vt="http://schemas.openxmlformats.org/officeDocument/2006/docPropsVTypes"/>
</file>