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Wabtec Corporation (NYSE: WAB)</w:t>
            </w:r>
          </w:p>
        </w:tc>
      </w:tr>
      <w:tr>
        <w:tc>
          <w:tcPr>
            <w:tcW w:type="dxa" w:w="4320"/>
          </w:tcPr>
          <w:p>
            <w:r>
              <w:rPr>
                <w:rFonts w:ascii="Calibri" w:hAnsi="Calibri"/>
                <w:b/>
                <w:sz w:val="22"/>
              </w:rPr>
              <w:t>Earnings Date</w:t>
            </w:r>
          </w:p>
        </w:tc>
        <w:tc>
          <w:tcPr>
            <w:tcW w:type="dxa" w:w="4320"/>
          </w:tcPr>
          <w:p>
            <w:r>
              <w:rPr>
                <w:rFonts w:ascii="Calibri" w:hAnsi="Calibri"/>
                <w:sz w:val="22"/>
              </w:rPr>
              <w:t>July 22, 2026 —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IYT (iShares Transportation Average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a layup — consensus EPS of ~$2.61 is a manageable bar given management's explicit Q2 guidance that the quarter will "closely mirror" Q1 in revenue and margin growth, but the </w:t>
      </w:r>
      <w:r>
        <w:rPr>
          <w:rFonts w:ascii="Calibri" w:hAnsi="Calibri"/>
          <w:b/>
          <w:color w:val="525866"/>
          <w:sz w:val="22"/>
        </w:rPr>
        <w:t>peak tariff headwind in Q2</w:t>
      </w:r>
      <w:r>
        <w:rPr>
          <w:rFonts w:ascii="Calibri" w:hAnsi="Calibri"/>
          <w:color w:val="525866"/>
          <w:sz w:val="22"/>
        </w:rPr>
        <w:t xml:space="preserve"> and the absence of the ~$0.10 non-operational tailwind that boosted Q1 EPS create a tighter path to a beat; the biggest swing factor is whether tariff mitigation execution and international order conversion hold up.</w:t>
      </w:r>
    </w:p>
    <w:p>
      <w:r>
        <w:rPr>
          <w:rFonts w:ascii="Calibri" w:hAnsi="Calibri"/>
          <w:color w:val="525866"/>
          <w:sz w:val="22"/>
        </w:rPr>
        <w:t xml:space="preserve">Heading into Q2 2026, the bar for Wabtec looks achievable but not easy. Management guided explicitly on the Q1 call that Q2 revenue growth and margin expansion would "closely mirror" Q1 — implying roughly 10–13% revenue growth and adjusted operating margin in the 21–22% range — while flagging that the </w:t>
      </w:r>
      <w:r>
        <w:rPr>
          <w:rFonts w:ascii="Calibri" w:hAnsi="Calibri"/>
          <w:b/>
          <w:color w:val="525866"/>
          <w:sz w:val="22"/>
        </w:rPr>
        <w:t>~$0.10 non-operational EPS tailwind from currency and tax timing in Q1 will not repeat</w:t>
      </w:r>
      <w:r>
        <w:rPr>
          <w:rFonts w:ascii="Calibri" w:hAnsi="Calibri"/>
          <w:color w:val="525866"/>
          <w:sz w:val="22"/>
        </w:rPr>
        <w:t xml:space="preserve">. Consensus adjusted EPS of ~$2.61 sits modestly below Q1's $2.71 print, consistent with that guidance, suggesting the street has largely absorbed the non-operational normalization. Estimate revisions have been essentially flat since the Q1 print, with FY 2026 EPS consensus at ~$10.62 — just inside the raised guidance midpoint of $10.45 — indicating the street is not pricing in incremental upside. The stock has underperformed the transport ETF (IYT +10.4% vs. WAB +0.8% since Q1 earnings), suggesting the market has been cautious on the tariff overhang and services revenue headwind from lower modernization deliveries, leaving the stock less stretched than it was pre-Q1. The key wildcard is </w:t>
      </w:r>
      <w:r>
        <w:rPr>
          <w:rFonts w:ascii="Calibri" w:hAnsi="Calibri"/>
          <w:b/>
          <w:color w:val="525866"/>
          <w:sz w:val="22"/>
        </w:rPr>
        <w:t>tariff cost trajectory</w:t>
      </w:r>
      <w:r>
        <w:rPr>
          <w:rFonts w:ascii="Calibri" w:hAnsi="Calibri"/>
          <w:color w:val="525866"/>
          <w:sz w:val="22"/>
        </w:rPr>
        <w:t>: management guided that gross tariff impact would plateau in Q2 before dissipating in H2, and any evidence that mitigation is ahead of plan — or that the Section 232 regime change is delivering administrative savings — could drive a positive surprise on margins even without a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EPS (~$2.61 vs. Q1's $2.71 beat) with revenue expectations of ~$3.08B implying ~14% YoY growth; </w:t>
      </w:r>
      <w:r>
        <w:rPr>
          <w:rFonts w:ascii="Calibri" w:hAnsi="Calibri"/>
          <w:b/>
          <w:color w:val="525866"/>
          <w:sz w:val="22"/>
        </w:rPr>
        <w:t>adjusted operating margin is the bigger swing factor</w:t>
      </w:r>
      <w:r>
        <w:rPr>
          <w:rFonts w:ascii="Calibri" w:hAnsi="Calibri"/>
          <w:color w:val="525866"/>
          <w:sz w:val="22"/>
        </w:rPr>
        <w:t xml:space="preserve"> — any tariff mitigation outperformance vs. the guided "peak headwind in Q2" narrative could drive upside.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Revenue ($B)</w:t>
            </w:r>
          </w:p>
        </w:tc>
        <w:tc>
          <w:tcPr>
            <w:tcW w:type="dxa" w:w="1234"/>
          </w:tcPr>
          <w:p>
            <w:r>
              <w:rPr>
                <w:rFonts w:ascii="Calibri" w:hAnsi="Calibri"/>
                <w:sz w:val="22"/>
              </w:rPr>
              <w:t>$2.950B</w:t>
            </w:r>
          </w:p>
        </w:tc>
        <w:tc>
          <w:tcPr>
            <w:tcW w:type="dxa" w:w="1234"/>
          </w:tcPr>
          <w:p>
            <w:r>
              <w:rPr>
                <w:rFonts w:ascii="Calibri" w:hAnsi="Calibri"/>
                <w:sz w:val="22"/>
              </w:rPr>
              <w:t>$2.706B</w:t>
            </w:r>
          </w:p>
        </w:tc>
        <w:tc>
          <w:tcPr>
            <w:tcW w:type="dxa" w:w="1234"/>
          </w:tcPr>
          <w:p>
            <w:r>
              <w:rPr>
                <w:rFonts w:ascii="Calibri" w:hAnsi="Calibri"/>
                <w:sz w:val="22"/>
              </w:rPr>
              <w:t>$3.077B</w:t>
            </w:r>
          </w:p>
        </w:tc>
        <w:tc>
          <w:tcPr>
            <w:tcW w:type="dxa" w:w="1234"/>
          </w:tcPr>
          <w:p>
            <w:r>
              <w:rPr>
                <w:rFonts w:ascii="Calibri" w:hAnsi="Calibri"/>
                <w:sz w:val="22"/>
              </w:rPr>
              <w:t>+13.7%</w:t>
            </w:r>
          </w:p>
        </w:tc>
        <w:tc>
          <w:tcPr>
            <w:tcW w:type="dxa" w:w="1234"/>
          </w:tcPr>
          <w:p>
            <w:r>
              <w:rPr>
                <w:rFonts w:ascii="Calibri" w:hAnsi="Calibri"/>
                <w:sz w:val="22"/>
              </w:rPr>
              <w:t>$12.19B–$12.49B (FY)</w:t>
            </w:r>
          </w:p>
        </w:tc>
        <w:tc>
          <w:tcPr>
            <w:tcW w:type="dxa" w:w="1234"/>
          </w:tcPr>
          <w:p>
            <w:r>
              <w:rPr>
                <w:rFonts w:ascii="Calibri" w:hAnsi="Calibri"/>
                <w:sz w:val="22"/>
              </w:rPr>
              <w:t>Within range</w:t>
            </w:r>
          </w:p>
        </w:tc>
      </w:tr>
      <w:tr>
        <w:tc>
          <w:tcPr>
            <w:tcW w:type="dxa" w:w="1234"/>
          </w:tcPr>
          <w:p>
            <w:r>
              <w:rPr>
                <w:rFonts w:ascii="Calibri" w:hAnsi="Calibri"/>
                <w:sz w:val="22"/>
              </w:rPr>
              <w:t>Adj. EPS (Diluted)</w:t>
            </w:r>
          </w:p>
        </w:tc>
        <w:tc>
          <w:tcPr>
            <w:tcW w:type="dxa" w:w="1234"/>
          </w:tcPr>
          <w:p>
            <w:r>
              <w:rPr>
                <w:rFonts w:ascii="Calibri" w:hAnsi="Calibri"/>
                <w:sz w:val="22"/>
              </w:rPr>
              <w:t>$2.71</w:t>
            </w:r>
          </w:p>
        </w:tc>
        <w:tc>
          <w:tcPr>
            <w:tcW w:type="dxa" w:w="1234"/>
          </w:tcPr>
          <w:p>
            <w:r>
              <w:rPr>
                <w:rFonts w:ascii="Calibri" w:hAnsi="Calibri"/>
                <w:sz w:val="22"/>
              </w:rPr>
              <w:t>$2.27</w:t>
            </w:r>
          </w:p>
        </w:tc>
        <w:tc>
          <w:tcPr>
            <w:tcW w:type="dxa" w:w="1234"/>
          </w:tcPr>
          <w:p>
            <w:r>
              <w:rPr>
                <w:rFonts w:ascii="Calibri" w:hAnsi="Calibri"/>
                <w:sz w:val="22"/>
              </w:rPr>
              <w:t>$2.61</w:t>
            </w:r>
          </w:p>
        </w:tc>
        <w:tc>
          <w:tcPr>
            <w:tcW w:type="dxa" w:w="1234"/>
          </w:tcPr>
          <w:p>
            <w:r>
              <w:rPr>
                <w:rFonts w:ascii="Calibri" w:hAnsi="Calibri"/>
                <w:sz w:val="22"/>
              </w:rPr>
              <w:t>+14.9%</w:t>
            </w:r>
          </w:p>
        </w:tc>
        <w:tc>
          <w:tcPr>
            <w:tcW w:type="dxa" w:w="1234"/>
          </w:tcPr>
          <w:p>
            <w:r>
              <w:rPr>
                <w:rFonts w:ascii="Calibri" w:hAnsi="Calibri"/>
                <w:sz w:val="22"/>
              </w:rPr>
              <w:t>$10.25–$10.65 (FY)</w:t>
            </w:r>
          </w:p>
        </w:tc>
        <w:tc>
          <w:tcPr>
            <w:tcW w:type="dxa" w:w="1234"/>
          </w:tcPr>
          <w:p>
            <w:r>
              <w:rPr>
                <w:rFonts w:ascii="Calibri" w:hAnsi="Calibri"/>
                <w:sz w:val="22"/>
              </w:rPr>
              <w:t>~+1.6% vs. midpoint</w:t>
            </w:r>
          </w:p>
        </w:tc>
      </w:tr>
      <w:tr>
        <w:tc>
          <w:tcPr>
            <w:tcW w:type="dxa" w:w="1234"/>
          </w:tcPr>
          <w:p>
            <w:r>
              <w:rPr>
                <w:rFonts w:ascii="Calibri" w:hAnsi="Calibri"/>
                <w:sz w:val="22"/>
              </w:rPr>
              <w:t>Adj. Operating Income ($M)</w:t>
            </w:r>
          </w:p>
        </w:tc>
        <w:tc>
          <w:tcPr>
            <w:tcW w:type="dxa" w:w="1234"/>
          </w:tcPr>
          <w:p>
            <w:r>
              <w:rPr>
                <w:rFonts w:ascii="Calibri" w:hAnsi="Calibri"/>
                <w:sz w:val="22"/>
              </w:rPr>
              <w:t>$645M</w:t>
            </w:r>
          </w:p>
        </w:tc>
        <w:tc>
          <w:tcPr>
            <w:tcW w:type="dxa" w:w="1234"/>
          </w:tcPr>
          <w:p>
            <w:r>
              <w:rPr>
                <w:rFonts w:ascii="Calibri" w:hAnsi="Calibri"/>
                <w:sz w:val="22"/>
              </w:rPr>
              <w:t>$572M</w:t>
            </w:r>
          </w:p>
        </w:tc>
        <w:tc>
          <w:tcPr>
            <w:tcW w:type="dxa" w:w="1234"/>
          </w:tcPr>
          <w:p>
            <w:r>
              <w:rPr>
                <w:rFonts w:ascii="Calibri" w:hAnsi="Calibri"/>
                <w:sz w:val="22"/>
              </w:rPr>
              <w:t>$667M</w:t>
            </w:r>
          </w:p>
        </w:tc>
        <w:tc>
          <w:tcPr>
            <w:tcW w:type="dxa" w:w="1234"/>
          </w:tcPr>
          <w:p>
            <w:r>
              <w:rPr>
                <w:rFonts w:ascii="Calibri" w:hAnsi="Calibri"/>
                <w:sz w:val="22"/>
              </w:rPr>
              <w:t>+16.6%</w:t>
            </w:r>
          </w:p>
        </w:tc>
        <w:tc>
          <w:tcPr>
            <w:tcW w:type="dxa" w:w="1234"/>
          </w:tcPr>
          <w:p>
            <w:r>
              <w:rPr>
                <w:rFonts w:ascii="Calibri" w:hAnsi="Calibri"/>
                <w:sz w:val="22"/>
              </w:rPr>
              <w:t>Modest expansion guided (H1)</w:t>
            </w:r>
          </w:p>
        </w:tc>
        <w:tc>
          <w:tcPr>
            <w:tcW w:type="dxa" w:w="1234"/>
          </w:tcPr>
          <w:p>
            <w:r>
              <w:rPr>
                <w:rFonts w:ascii="Calibri" w:hAnsi="Calibri"/>
                <w:sz w:val="22"/>
              </w:rPr>
              <w:t>N/A (no Q2 specific)</w:t>
            </w:r>
          </w:p>
        </w:tc>
      </w:tr>
      <w:tr>
        <w:tc>
          <w:tcPr>
            <w:tcW w:type="dxa" w:w="1234"/>
          </w:tcPr>
          <w:p>
            <w:r>
              <w:rPr>
                <w:rFonts w:ascii="Calibri" w:hAnsi="Calibri"/>
                <w:sz w:val="22"/>
              </w:rPr>
              <w:t>Adj. Operating Margin (%)</w:t>
            </w:r>
          </w:p>
        </w:tc>
        <w:tc>
          <w:tcPr>
            <w:tcW w:type="dxa" w:w="1234"/>
          </w:tcPr>
          <w:p>
            <w:r>
              <w:rPr>
                <w:rFonts w:ascii="Calibri" w:hAnsi="Calibri"/>
                <w:sz w:val="22"/>
              </w:rPr>
              <w:t>21.9%</w:t>
            </w:r>
          </w:p>
        </w:tc>
        <w:tc>
          <w:tcPr>
            <w:tcW w:type="dxa" w:w="1234"/>
          </w:tcPr>
          <w:p>
            <w:r>
              <w:rPr>
                <w:rFonts w:ascii="Calibri" w:hAnsi="Calibri"/>
                <w:sz w:val="22"/>
              </w:rPr>
              <w:t>21.1%</w:t>
            </w:r>
          </w:p>
        </w:tc>
        <w:tc>
          <w:tcPr>
            <w:tcW w:type="dxa" w:w="1234"/>
          </w:tcPr>
          <w:p>
            <w:r>
              <w:rPr>
                <w:rFonts w:ascii="Calibri" w:hAnsi="Calibri"/>
                <w:sz w:val="22"/>
              </w:rPr>
              <w:t>21.7%</w:t>
            </w:r>
          </w:p>
        </w:tc>
        <w:tc>
          <w:tcPr>
            <w:tcW w:type="dxa" w:w="1234"/>
          </w:tcPr>
          <w:p>
            <w:r>
              <w:rPr>
                <w:rFonts w:ascii="Calibri" w:hAnsi="Calibri"/>
                <w:sz w:val="22"/>
              </w:rPr>
              <w:t>+60 bps YoY</w:t>
            </w:r>
          </w:p>
        </w:tc>
        <w:tc>
          <w:tcPr>
            <w:tcW w:type="dxa" w:w="1234"/>
          </w:tcPr>
          <w:p>
            <w:r>
              <w:rPr>
                <w:rFonts w:ascii="Calibri" w:hAnsi="Calibri"/>
                <w:sz w:val="22"/>
              </w:rPr>
              <w:t>Modest expansion in H1</w:t>
            </w:r>
          </w:p>
        </w:tc>
        <w:tc>
          <w:tcPr>
            <w:tcW w:type="dxa" w:w="1234"/>
          </w:tcPr>
          <w:p>
            <w:r>
              <w:rPr>
                <w:rFonts w:ascii="Calibri" w:hAnsi="Calibri"/>
                <w:sz w:val="22"/>
              </w:rPr>
              <w:t>In line</w:t>
            </w:r>
          </w:p>
        </w:tc>
      </w:tr>
      <w:tr>
        <w:tc>
          <w:tcPr>
            <w:tcW w:type="dxa" w:w="1234"/>
          </w:tcPr>
          <w:p>
            <w:r>
              <w:rPr>
                <w:rFonts w:ascii="Calibri" w:hAnsi="Calibri"/>
                <w:sz w:val="22"/>
              </w:rPr>
              <w:t>Adj. EBITDA ($M)</w:t>
            </w:r>
          </w:p>
        </w:tc>
        <w:tc>
          <w:tcPr>
            <w:tcW w:type="dxa" w:w="1234"/>
          </w:tcPr>
          <w:p>
            <w:r>
              <w:rPr>
                <w:rFonts w:ascii="Calibri" w:hAnsi="Calibri"/>
                <w:sz w:val="22"/>
              </w:rPr>
              <w:t>$716M</w:t>
            </w:r>
          </w:p>
        </w:tc>
        <w:tc>
          <w:tcPr>
            <w:tcW w:type="dxa" w:w="1234"/>
          </w:tcPr>
          <w:p>
            <w:r>
              <w:rPr>
                <w:rFonts w:ascii="Calibri" w:hAnsi="Calibri"/>
                <w:sz w:val="22"/>
              </w:rPr>
              <w:t>$608M</w:t>
            </w:r>
          </w:p>
        </w:tc>
        <w:tc>
          <w:tcPr>
            <w:tcW w:type="dxa" w:w="1234"/>
          </w:tcPr>
          <w:p>
            <w:r>
              <w:rPr>
                <w:rFonts w:ascii="Calibri" w:hAnsi="Calibri"/>
                <w:sz w:val="22"/>
              </w:rPr>
              <w:t>$723M</w:t>
            </w:r>
          </w:p>
        </w:tc>
        <w:tc>
          <w:tcPr>
            <w:tcW w:type="dxa" w:w="1234"/>
          </w:tcPr>
          <w:p>
            <w:r>
              <w:rPr>
                <w:rFonts w:ascii="Calibri" w:hAnsi="Calibri"/>
                <w:sz w:val="22"/>
              </w:rPr>
              <w:t>+18.9%</w:t>
            </w:r>
          </w:p>
        </w:tc>
        <w:tc>
          <w:tcPr>
            <w:tcW w:type="dxa" w:w="1234"/>
          </w:tcPr>
          <w:p>
            <w:r>
              <w:rPr>
                <w:rFonts w:ascii="Calibri" w:hAnsi="Calibri"/>
                <w:sz w:val="22"/>
              </w:rPr>
              <w:t>N/A (no Q2 specific)</w:t>
            </w:r>
          </w:p>
        </w:tc>
        <w:tc>
          <w:tcPr>
            <w:tcW w:type="dxa" w:w="1234"/>
          </w:tcPr>
          <w:p>
            <w:r>
              <w:rPr>
                <w:rFonts w:ascii="Calibri" w:hAnsi="Calibri"/>
                <w:sz w:val="22"/>
              </w:rPr>
              <w:t>N/A</w:t>
            </w:r>
          </w:p>
        </w:tc>
      </w:tr>
      <w:tr>
        <w:tc>
          <w:tcPr>
            <w:tcW w:type="dxa" w:w="1234"/>
          </w:tcPr>
          <w:p>
            <w:r>
              <w:rPr>
                <w:rFonts w:ascii="Calibri" w:hAnsi="Calibri"/>
                <w:sz w:val="22"/>
              </w:rPr>
              <w:t>Revenue — Freight ($B)</w:t>
            </w:r>
          </w:p>
        </w:tc>
        <w:tc>
          <w:tcPr>
            <w:tcW w:type="dxa" w:w="1234"/>
          </w:tcPr>
          <w:p>
            <w:r>
              <w:rPr>
                <w:rFonts w:ascii="Calibri" w:hAnsi="Calibri"/>
                <w:sz w:val="22"/>
              </w:rPr>
              <w:t>$2.115B</w:t>
            </w:r>
          </w:p>
        </w:tc>
        <w:tc>
          <w:tcPr>
            <w:tcW w:type="dxa" w:w="1234"/>
          </w:tcPr>
          <w:p>
            <w:r>
              <w:rPr>
                <w:rFonts w:ascii="Calibri" w:hAnsi="Calibri"/>
                <w:sz w:val="22"/>
              </w:rPr>
              <w:t>$1.919B</w:t>
            </w:r>
          </w:p>
        </w:tc>
        <w:tc>
          <w:tcPr>
            <w:tcW w:type="dxa" w:w="1234"/>
          </w:tcPr>
          <w:p>
            <w:r>
              <w:rPr>
                <w:rFonts w:ascii="Calibri" w:hAnsi="Calibri"/>
                <w:sz w:val="22"/>
              </w:rPr>
              <w:t>$2.187B</w:t>
            </w:r>
          </w:p>
        </w:tc>
        <w:tc>
          <w:tcPr>
            <w:tcW w:type="dxa" w:w="1234"/>
          </w:tcPr>
          <w:p>
            <w:r>
              <w:rPr>
                <w:rFonts w:ascii="Calibri" w:hAnsi="Calibri"/>
                <w:sz w:val="22"/>
              </w:rPr>
              <w:t>+14.0%</w:t>
            </w:r>
          </w:p>
        </w:tc>
        <w:tc>
          <w:tcPr>
            <w:tcW w:type="dxa" w:w="1234"/>
          </w:tcPr>
          <w:p>
            <w:r>
              <w:rPr>
                <w:rFonts w:ascii="Calibri" w:hAnsi="Calibri"/>
                <w:sz w:val="22"/>
              </w:rPr>
              <w:t>Strong Equipment growth; lower Services YoY</w:t>
            </w:r>
          </w:p>
        </w:tc>
        <w:tc>
          <w:tcPr>
            <w:tcW w:type="dxa" w:w="1234"/>
          </w:tcPr>
          <w:p>
            <w:r>
              <w:rPr>
                <w:rFonts w:ascii="Calibri" w:hAnsi="Calibri"/>
                <w:sz w:val="22"/>
              </w:rPr>
              <w:t>N/A</w:t>
            </w:r>
          </w:p>
        </w:tc>
      </w:tr>
      <w:tr>
        <w:tc>
          <w:tcPr>
            <w:tcW w:type="dxa" w:w="1234"/>
          </w:tcPr>
          <w:p>
            <w:r>
              <w:rPr>
                <w:rFonts w:ascii="Calibri" w:hAnsi="Calibri"/>
                <w:sz w:val="22"/>
              </w:rPr>
              <w:t>Revenue — Transit ($B)</w:t>
            </w:r>
          </w:p>
        </w:tc>
        <w:tc>
          <w:tcPr>
            <w:tcW w:type="dxa" w:w="1234"/>
          </w:tcPr>
          <w:p>
            <w:r>
              <w:rPr>
                <w:rFonts w:ascii="Calibri" w:hAnsi="Calibri"/>
                <w:sz w:val="22"/>
              </w:rPr>
              <w:t>$0.835B</w:t>
            </w:r>
          </w:p>
        </w:tc>
        <w:tc>
          <w:tcPr>
            <w:tcW w:type="dxa" w:w="1234"/>
          </w:tcPr>
          <w:p>
            <w:r>
              <w:rPr>
                <w:rFonts w:ascii="Calibri" w:hAnsi="Calibri"/>
                <w:sz w:val="22"/>
              </w:rPr>
              <w:t>$0.787B</w:t>
            </w:r>
          </w:p>
        </w:tc>
        <w:tc>
          <w:tcPr>
            <w:tcW w:type="dxa" w:w="1234"/>
          </w:tcPr>
          <w:p>
            <w:r>
              <w:rPr>
                <w:rFonts w:ascii="Calibri" w:hAnsi="Calibri"/>
                <w:sz w:val="22"/>
              </w:rPr>
              <w:t>$0.890B</w:t>
            </w:r>
          </w:p>
        </w:tc>
        <w:tc>
          <w:tcPr>
            <w:tcW w:type="dxa" w:w="1234"/>
          </w:tcPr>
          <w:p>
            <w:r>
              <w:rPr>
                <w:rFonts w:ascii="Calibri" w:hAnsi="Calibri"/>
                <w:sz w:val="22"/>
              </w:rPr>
              <w:t>+13.1%</w:t>
            </w:r>
          </w:p>
        </w:tc>
        <w:tc>
          <w:tcPr>
            <w:tcW w:type="dxa" w:w="1234"/>
          </w:tcPr>
          <w:p>
            <w:r>
              <w:rPr>
                <w:rFonts w:ascii="Calibri" w:hAnsi="Calibri"/>
                <w:sz w:val="22"/>
              </w:rPr>
              <w:t>Dellner contribution continues</w:t>
            </w:r>
          </w:p>
        </w:tc>
        <w:tc>
          <w:tcPr>
            <w:tcW w:type="dxa" w:w="1234"/>
          </w:tcPr>
          <w:p>
            <w:r>
              <w:rPr>
                <w:rFonts w:ascii="Calibri" w:hAnsi="Calibri"/>
                <w:sz w:val="22"/>
              </w:rPr>
              <w:t>N/A</w:t>
            </w:r>
          </w:p>
        </w:tc>
      </w:tr>
      <w:tr>
        <w:tc>
          <w:tcPr>
            <w:tcW w:type="dxa" w:w="1234"/>
          </w:tcPr>
          <w:p>
            <w:r>
              <w:rPr>
                <w:rFonts w:ascii="Calibri" w:hAnsi="Calibri"/>
                <w:sz w:val="22"/>
              </w:rPr>
              <w:t>Total Backlog ($B)</w:t>
            </w:r>
          </w:p>
        </w:tc>
        <w:tc>
          <w:tcPr>
            <w:tcW w:type="dxa" w:w="1234"/>
          </w:tcPr>
          <w:p>
            <w:r>
              <w:rPr>
                <w:rFonts w:ascii="Calibri" w:hAnsi="Calibri"/>
                <w:sz w:val="22"/>
              </w:rPr>
              <w:t>$30.8B</w:t>
            </w:r>
          </w:p>
        </w:tc>
        <w:tc>
          <w:tcPr>
            <w:tcW w:type="dxa" w:w="1234"/>
          </w:tcPr>
          <w:p>
            <w:r>
              <w:rPr>
                <w:rFonts w:ascii="Calibri" w:hAnsi="Calibri"/>
                <w:sz w:val="22"/>
              </w:rPr>
              <w:t>$21.8B</w:t>
            </w:r>
          </w:p>
        </w:tc>
        <w:tc>
          <w:tcPr>
            <w:tcW w:type="dxa" w:w="1234"/>
          </w:tcPr>
          <w:p>
            <w:r>
              <w:rPr>
                <w:rFonts w:ascii="Calibri" w:hAnsi="Calibri"/>
                <w:sz w:val="22"/>
              </w:rPr>
              <w:t>$30.4B</w:t>
            </w:r>
          </w:p>
        </w:tc>
        <w:tc>
          <w:tcPr>
            <w:tcW w:type="dxa" w:w="1234"/>
          </w:tcPr>
          <w:p>
            <w:r>
              <w:rPr>
                <w:rFonts w:ascii="Calibri" w:hAnsi="Calibri"/>
                <w:sz w:val="22"/>
              </w:rPr>
              <w:t>+39.4% YoY</w:t>
            </w:r>
          </w:p>
        </w:tc>
        <w:tc>
          <w:tcPr>
            <w:tcW w:type="dxa" w:w="1234"/>
          </w:tcPr>
          <w:p>
            <w:r>
              <w:rPr>
                <w:rFonts w:ascii="Calibri" w:hAnsi="Calibri"/>
                <w:sz w:val="22"/>
              </w:rPr>
              <w:t>Record multiyear backlog</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$153M</w:t>
            </w:r>
          </w:p>
        </w:tc>
        <w:tc>
          <w:tcPr>
            <w:tcW w:type="dxa" w:w="1234"/>
          </w:tcPr>
          <w:p>
            <w:r>
              <w:rPr>
                <w:rFonts w:ascii="Calibri" w:hAnsi="Calibri"/>
                <w:sz w:val="22"/>
              </w:rPr>
              <w:t>$142M</w:t>
            </w:r>
          </w:p>
        </w:tc>
        <w:tc>
          <w:tcPr>
            <w:tcW w:type="dxa" w:w="1234"/>
          </w:tcPr>
          <w:p>
            <w:r>
              <w:rPr>
                <w:rFonts w:ascii="Calibri" w:hAnsi="Calibri"/>
                <w:sz w:val="22"/>
              </w:rPr>
              <w:t>$516M</w:t>
            </w:r>
          </w:p>
        </w:tc>
        <w:tc>
          <w:tcPr>
            <w:tcW w:type="dxa" w:w="1234"/>
          </w:tcPr>
          <w:p>
            <w:r>
              <w:rPr>
                <w:rFonts w:ascii="Calibri" w:hAnsi="Calibri"/>
                <w:sz w:val="22"/>
              </w:rPr>
              <w:t>+263% YoY</w:t>
            </w:r>
          </w:p>
        </w:tc>
        <w:tc>
          <w:tcPr>
            <w:tcW w:type="dxa" w:w="1234"/>
          </w:tcPr>
          <w:p>
            <w:r>
              <w:rPr>
                <w:rFonts w:ascii="Calibri" w:hAnsi="Calibri"/>
                <w:sz w:val="22"/>
              </w:rPr>
              <w:t>&gt;90% cash conversion (FY)</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21, 2026. FY guidance as stated on Q1 2026 earnings call (April 22, 2026). Q2 2026 actuals not yet reported.</w:t>
      </w:r>
    </w:p>
    <w:p>
      <w:pPr>
        <w:pStyle w:val="Heading3"/>
      </w:pPr>
      <w:r>
        <w:rPr>
          <w:rFonts w:ascii="Calibri" w:hAnsi="Calibri"/>
          <w:b/>
          <w:color w:val="3B4259"/>
          <w:sz w:val="24"/>
        </w:rPr>
        <w:t>Table 2 — Beat/Miss History (Last 8 Quarters)</w:t>
      </w:r>
    </w:p>
    <w:p>
      <w:r>
        <w:rPr>
          <w:rFonts w:ascii="Calibri" w:hAnsi="Calibri"/>
          <w:b/>
          <w:color w:val="525866"/>
          <w:sz w:val="22"/>
        </w:rPr>
        <w:t>Top 2 KPIs: Adjusted EPS (Diluted) and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$2.52</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$2.950B</w:t>
            </w:r>
          </w:p>
        </w:tc>
        <w:tc>
          <w:tcPr>
            <w:tcW w:type="dxa" w:w="1440"/>
          </w:tcPr>
          <w:p>
            <w:r>
              <w:rPr>
                <w:rFonts w:ascii="Calibri" w:hAnsi="Calibri"/>
                <w:sz w:val="22"/>
              </w:rPr>
              <w:t>$2.958B</w:t>
            </w:r>
          </w:p>
        </w:tc>
        <w:tc>
          <w:tcPr>
            <w:tcW w:type="dxa" w:w="1440"/>
          </w:tcPr>
          <w:p>
            <w:r>
              <w:rPr>
                <w:rFonts w:ascii="Calibri" w:hAnsi="Calibri"/>
                <w:b/>
                <w:color w:val="E5484D"/>
                <w:sz w:val="22"/>
              </w:rPr>
              <w:t>-0.3%</w:t>
            </w:r>
          </w:p>
        </w:tc>
        <w:tc>
          <w:tcPr>
            <w:tcW w:type="dxa" w:w="1440"/>
          </w:tcPr>
          <w:p>
            <w:r>
              <w:rPr>
                <w:rFonts w:ascii="Calibri" w:hAnsi="Calibri"/>
                <w:b/>
                <w:color w:val="E5484D"/>
                <w:sz w:val="22"/>
              </w:rPr>
              <w:t>Slight 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$2.10</w:t>
            </w:r>
          </w:p>
        </w:tc>
        <w:tc>
          <w:tcPr>
            <w:tcW w:type="dxa" w:w="1440"/>
          </w:tcPr>
          <w:p>
            <w:r>
              <w:rPr>
                <w:rFonts w:ascii="Calibri" w:hAnsi="Calibri"/>
                <w:sz w:val="22"/>
              </w:rPr>
              <w:t>$2.09</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$2.965B</w:t>
            </w:r>
          </w:p>
        </w:tc>
        <w:tc>
          <w:tcPr>
            <w:tcW w:type="dxa" w:w="1440"/>
          </w:tcPr>
          <w:p>
            <w:r>
              <w:rPr>
                <w:rFonts w:ascii="Calibri" w:hAnsi="Calibri"/>
                <w:sz w:val="22"/>
              </w:rPr>
              <w:t>$2.864B</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$2.32</w:t>
            </w:r>
          </w:p>
        </w:tc>
        <w:tc>
          <w:tcPr>
            <w:tcW w:type="dxa" w:w="1440"/>
          </w:tcPr>
          <w:p>
            <w:r>
              <w:rPr>
                <w:rFonts w:ascii="Calibri" w:hAnsi="Calibri"/>
                <w:sz w:val="22"/>
              </w:rPr>
              <w:t>$2.28</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$2.886B</w:t>
            </w:r>
          </w:p>
        </w:tc>
        <w:tc>
          <w:tcPr>
            <w:tcW w:type="dxa" w:w="1440"/>
          </w:tcPr>
          <w:p>
            <w:r>
              <w:rPr>
                <w:rFonts w:ascii="Calibri" w:hAnsi="Calibri"/>
                <w:sz w:val="22"/>
              </w:rPr>
              <w:t>$2.877B</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$2.27</w:t>
            </w:r>
          </w:p>
        </w:tc>
        <w:tc>
          <w:tcPr>
            <w:tcW w:type="dxa" w:w="1440"/>
          </w:tcPr>
          <w:p>
            <w:r>
              <w:rPr>
                <w:rFonts w:ascii="Calibri" w:hAnsi="Calibri"/>
                <w:sz w:val="22"/>
              </w:rPr>
              <w:t>$2.18</w:t>
            </w:r>
          </w:p>
        </w:tc>
        <w:tc>
          <w:tcPr>
            <w:tcW w:type="dxa" w:w="1440"/>
          </w:tcPr>
          <w:p>
            <w:r>
              <w:rPr>
                <w:rFonts w:ascii="Calibri" w:hAnsi="Calibri"/>
                <w:b/>
                <w:color w:val="30A46C"/>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$2.706B</w:t>
            </w:r>
          </w:p>
        </w:tc>
        <w:tc>
          <w:tcPr>
            <w:tcW w:type="dxa" w:w="1440"/>
          </w:tcPr>
          <w:p>
            <w:r>
              <w:rPr>
                <w:rFonts w:ascii="Calibri" w:hAnsi="Calibri"/>
                <w:sz w:val="22"/>
              </w:rPr>
              <w:t>$2.776B</w:t>
            </w:r>
          </w:p>
        </w:tc>
        <w:tc>
          <w:tcPr>
            <w:tcW w:type="dxa" w:w="1440"/>
          </w:tcPr>
          <w:p>
            <w:r>
              <w:rPr>
                <w:rFonts w:ascii="Calibri" w:hAnsi="Calibri"/>
                <w:b/>
                <w:color w:val="E5484D"/>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$2.28</w:t>
            </w:r>
          </w:p>
        </w:tc>
        <w:tc>
          <w:tcPr>
            <w:tcW w:type="dxa" w:w="1440"/>
          </w:tcPr>
          <w:p>
            <w:r>
              <w:rPr>
                <w:rFonts w:ascii="Calibri" w:hAnsi="Calibri"/>
                <w:sz w:val="22"/>
              </w:rPr>
              <w:t>~$2.20</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$2.610B</w:t>
            </w:r>
          </w:p>
        </w:tc>
        <w:tc>
          <w:tcPr>
            <w:tcW w:type="dxa" w:w="1440"/>
          </w:tcPr>
          <w:p>
            <w:r>
              <w:rPr>
                <w:rFonts w:ascii="Calibri" w:hAnsi="Calibri"/>
                <w:sz w:val="22"/>
              </w:rPr>
              <w:t>~$2.590B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$2.10</w:t>
            </w:r>
          </w:p>
        </w:tc>
        <w:tc>
          <w:tcPr>
            <w:tcW w:type="dxa" w:w="1440"/>
          </w:tcPr>
          <w:p>
            <w:r>
              <w:rPr>
                <w:rFonts w:ascii="Calibri" w:hAnsi="Calibri"/>
                <w:sz w:val="22"/>
              </w:rPr>
              <w:t>~$2.05</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$2.820B</w:t>
            </w:r>
          </w:p>
        </w:tc>
        <w:tc>
          <w:tcPr>
            <w:tcW w:type="dxa" w:w="1440"/>
          </w:tcPr>
          <w:p>
            <w:r>
              <w:rPr>
                <w:rFonts w:ascii="Calibri" w:hAnsi="Calibri"/>
                <w:sz w:val="22"/>
              </w:rPr>
              <w:t>~$2.800B</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$1.97</w:t>
            </w:r>
          </w:p>
        </w:tc>
        <w:tc>
          <w:tcPr>
            <w:tcW w:type="dxa" w:w="1440"/>
          </w:tcPr>
          <w:p>
            <w:r>
              <w:rPr>
                <w:rFonts w:ascii="Calibri" w:hAnsi="Calibri"/>
                <w:sz w:val="22"/>
              </w:rPr>
              <w:t>~$1.90</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$2.660B</w:t>
            </w:r>
          </w:p>
        </w:tc>
        <w:tc>
          <w:tcPr>
            <w:tcW w:type="dxa" w:w="1440"/>
          </w:tcPr>
          <w:p>
            <w:r>
              <w:rPr>
                <w:rFonts w:ascii="Calibri" w:hAnsi="Calibri"/>
                <w:sz w:val="22"/>
              </w:rPr>
              <w:t>~$2.640B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$1.83</w:t>
            </w:r>
          </w:p>
        </w:tc>
        <w:tc>
          <w:tcPr>
            <w:tcW w:type="dxa" w:w="1440"/>
          </w:tcPr>
          <w:p>
            <w:r>
              <w:rPr>
                <w:rFonts w:ascii="Calibri" w:hAnsi="Calibri"/>
                <w:sz w:val="22"/>
              </w:rPr>
              <w:t>~$1.78</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$2.590B</w:t>
            </w:r>
          </w:p>
        </w:tc>
        <w:tc>
          <w:tcPr>
            <w:tcW w:type="dxa" w:w="1440"/>
          </w:tcPr>
          <w:p>
            <w:r>
              <w:rPr>
                <w:rFonts w:ascii="Calibri" w:hAnsi="Calibri"/>
                <w:sz w:val="22"/>
              </w:rPr>
              <w:t>~$2.570B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WAB has beaten adjusted EPS consensus in every quarter over the past 8 periods, with the Q1 2026 beat (+7.5%) being the largest in recent history; revenue beats are more mixed, with two misses in the last 8 quarters, both driven by lower-than-expected modernization deliveries rather than core demand weakness.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raised on EPS and held on revenue</w:t>
      </w:r>
      <w:r>
        <w:rPr>
          <w:rFonts w:ascii="Calibri" w:hAnsi="Calibri"/>
          <w:color w:val="525866"/>
          <w:sz w:val="22"/>
        </w:rPr>
        <w:t xml:space="preserve"> since the last earnings call; management tone is constructive but explicitly flagged Q2 as the peak tariff headwind quarter, with H2 expected to see dissipation — no post-earnings guidance revisions have been issued via 8-K or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$12.19B – $12.49B (+10.5% at midpoint)</w:t>
            </w:r>
          </w:p>
        </w:tc>
        <w:tc>
          <w:tcPr>
            <w:tcW w:type="dxa" w:w="1728"/>
          </w:tcPr>
          <w:p>
            <w:r>
              <w:rPr>
                <w:rFonts w:ascii="Calibri" w:hAnsi="Calibri"/>
                <w:sz w:val="22"/>
              </w:rPr>
              <w:t>—</w:t>
            </w:r>
          </w:p>
        </w:tc>
        <w:tc>
          <w:tcPr>
            <w:tcW w:type="dxa" w:w="1728"/>
          </w:tcPr>
          <w:p>
            <w:r>
              <w:rPr>
                <w:rFonts w:ascii="Calibri" w:hAnsi="Calibri"/>
                <w:sz w:val="22"/>
              </w:rPr>
              <w:t>$12.39B</w:t>
            </w:r>
          </w:p>
        </w:tc>
        <w:tc>
          <w:tcPr>
            <w:tcW w:type="dxa" w:w="1728"/>
          </w:tcPr>
          <w:p>
            <w:r>
              <w:rPr>
                <w:rFonts w:ascii="Calibri" w:hAnsi="Calibri"/>
                <w:sz w:val="22"/>
              </w:rPr>
              <w:t>Unchanged from prior guidance; organic growth expected mid-single digits</w:t>
            </w:r>
          </w:p>
        </w:tc>
      </w:tr>
      <w:tr>
        <w:tc>
          <w:tcPr>
            <w:tcW w:type="dxa" w:w="1728"/>
          </w:tcPr>
          <w:p>
            <w:r>
              <w:rPr>
                <w:rFonts w:ascii="Calibri" w:hAnsi="Calibri"/>
                <w:sz w:val="22"/>
              </w:rPr>
              <w:t>FY 2026 Adj. EPS</w:t>
            </w:r>
          </w:p>
        </w:tc>
        <w:tc>
          <w:tcPr>
            <w:tcW w:type="dxa" w:w="1728"/>
          </w:tcPr>
          <w:p>
            <w:r>
              <w:rPr>
                <w:rFonts w:ascii="Calibri" w:hAnsi="Calibri"/>
                <w:sz w:val="22"/>
              </w:rPr>
              <w:t>$10.25 – $10.65 (~17% growth at midpoint)</w:t>
            </w:r>
          </w:p>
        </w:tc>
        <w:tc>
          <w:tcPr>
            <w:tcW w:type="dxa" w:w="1728"/>
          </w:tcPr>
          <w:p>
            <w:r>
              <w:rPr>
                <w:rFonts w:ascii="Calibri" w:hAnsi="Calibri"/>
                <w:sz w:val="22"/>
              </w:rPr>
              <w:t>—</w:t>
            </w:r>
          </w:p>
        </w:tc>
        <w:tc>
          <w:tcPr>
            <w:tcW w:type="dxa" w:w="1728"/>
          </w:tcPr>
          <w:p>
            <w:r>
              <w:rPr>
                <w:rFonts w:ascii="Calibri" w:hAnsi="Calibri"/>
                <w:sz w:val="22"/>
              </w:rPr>
              <w:t>$10.62</w:t>
            </w:r>
          </w:p>
        </w:tc>
        <w:tc>
          <w:tcPr>
            <w:tcW w:type="dxa" w:w="1728"/>
          </w:tcPr>
          <w:p>
            <w:r>
              <w:rPr>
                <w:rFonts w:ascii="Calibri" w:hAnsi="Calibri"/>
                <w:sz w:val="22"/>
              </w:rPr>
              <w:t>↑ Raised $0.20 at midpoint vs. prior guidance on Q1 call; ~$0.10 operational, ~$0.10 non-operational (FX + tax timing)</w:t>
            </w:r>
          </w:p>
        </w:tc>
      </w:tr>
      <w:tr>
        <w:tc>
          <w:tcPr>
            <w:tcW w:type="dxa" w:w="1728"/>
          </w:tcPr>
          <w:p>
            <w:r>
              <w:rPr>
                <w:rFonts w:ascii="Calibri" w:hAnsi="Calibri"/>
                <w:sz w:val="22"/>
              </w:rPr>
              <w:t>FY 2026 Adj. Tax Rate</w:t>
            </w:r>
          </w:p>
        </w:tc>
        <w:tc>
          <w:tcPr>
            <w:tcW w:type="dxa" w:w="1728"/>
          </w:tcPr>
          <w:p>
            <w:r>
              <w:rPr>
                <w:rFonts w:ascii="Calibri" w:hAnsi="Calibri"/>
                <w:sz w:val="22"/>
              </w:rPr>
              <w:t>~24.5%</w:t>
            </w:r>
          </w:p>
        </w:tc>
        <w:tc>
          <w:tcPr>
            <w:tcW w:type="dxa" w:w="1728"/>
          </w:tcPr>
          <w:p>
            <w:r>
              <w:rPr>
                <w:rFonts w:ascii="Calibri" w:hAnsi="Calibri"/>
                <w:sz w:val="22"/>
              </w:rPr>
              <w:t>—</w:t>
            </w:r>
          </w:p>
        </w:tc>
        <w:tc>
          <w:tcPr>
            <w:tcW w:type="dxa" w:w="1728"/>
          </w:tcPr>
          <w:p>
            <w:r>
              <w:rPr>
                <w:rFonts w:ascii="Calibri" w:hAnsi="Calibri"/>
                <w:sz w:val="22"/>
              </w:rPr>
              <w:t>~24.5%</w:t>
            </w:r>
          </w:p>
        </w:tc>
        <w:tc>
          <w:tcPr>
            <w:tcW w:type="dxa" w:w="1728"/>
          </w:tcPr>
          <w:p>
            <w:r>
              <w:rPr>
                <w:rFonts w:ascii="Calibri" w:hAnsi="Calibri"/>
                <w:sz w:val="22"/>
              </w:rPr>
              <w:t>Unchanged; favorable Q1 timing expected to normalize</w:t>
            </w:r>
          </w:p>
        </w:tc>
      </w:tr>
      <w:tr>
        <w:tc>
          <w:tcPr>
            <w:tcW w:type="dxa" w:w="1728"/>
          </w:tcPr>
          <w:p>
            <w:r>
              <w:rPr>
                <w:rFonts w:ascii="Calibri" w:hAnsi="Calibri"/>
                <w:sz w:val="22"/>
              </w:rPr>
              <w:t>FY 2026 Cash Conversion</w:t>
            </w:r>
          </w:p>
        </w:tc>
        <w:tc>
          <w:tcPr>
            <w:tcW w:type="dxa" w:w="1728"/>
          </w:tcPr>
          <w:p>
            <w:r>
              <w:rPr>
                <w:rFonts w:ascii="Calibri" w:hAnsi="Calibri"/>
                <w:sz w:val="22"/>
              </w:rPr>
              <w:t>&gt;90%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long-term target reiterated</w:t>
            </w:r>
          </w:p>
        </w:tc>
      </w:tr>
      <w:tr>
        <w:tc>
          <w:tcPr>
            <w:tcW w:type="dxa" w:w="1728"/>
          </w:tcPr>
          <w:p>
            <w:r>
              <w:rPr>
                <w:rFonts w:ascii="Calibri" w:hAnsi="Calibri"/>
                <w:sz w:val="22"/>
              </w:rPr>
              <w:t>Q2 2026 Revenue Growth</w:t>
            </w:r>
          </w:p>
        </w:tc>
        <w:tc>
          <w:tcPr>
            <w:tcW w:type="dxa" w:w="1728"/>
          </w:tcPr>
          <w:p>
            <w:r>
              <w:rPr>
                <w:rFonts w:ascii="Calibri" w:hAnsi="Calibri"/>
                <w:sz w:val="22"/>
              </w:rPr>
              <w:t>"Closely mirror Q1" (~10–13% YoY)</w:t>
            </w:r>
          </w:p>
        </w:tc>
        <w:tc>
          <w:tcPr>
            <w:tcW w:type="dxa" w:w="1728"/>
          </w:tcPr>
          <w:p>
            <w:r>
              <w:rPr>
                <w:rFonts w:ascii="Calibri" w:hAnsi="Calibri"/>
                <w:sz w:val="22"/>
              </w:rPr>
              <w:t>—</w:t>
            </w:r>
          </w:p>
        </w:tc>
        <w:tc>
          <w:tcPr>
            <w:tcW w:type="dxa" w:w="1728"/>
          </w:tcPr>
          <w:p>
            <w:r>
              <w:rPr>
                <w:rFonts w:ascii="Calibri" w:hAnsi="Calibri"/>
                <w:sz w:val="22"/>
              </w:rPr>
              <w:t>+13.7% YoY ($3.077B)</w:t>
            </w:r>
          </w:p>
        </w:tc>
        <w:tc>
          <w:tcPr>
            <w:tcW w:type="dxa" w:w="1728"/>
          </w:tcPr>
          <w:p>
            <w:r>
              <w:rPr>
                <w:rFonts w:ascii="Calibri" w:hAnsi="Calibri"/>
                <w:sz w:val="22"/>
              </w:rPr>
              <w:t>Consensus in line with directional guidance; strong Equipment growth, lower Services YoY</w:t>
            </w:r>
          </w:p>
        </w:tc>
      </w:tr>
      <w:tr>
        <w:tc>
          <w:tcPr>
            <w:tcW w:type="dxa" w:w="1728"/>
          </w:tcPr>
          <w:p>
            <w:r>
              <w:rPr>
                <w:rFonts w:ascii="Calibri" w:hAnsi="Calibri"/>
                <w:sz w:val="22"/>
              </w:rPr>
              <w:t>Q2 2026 Adj. Operating Margin</w:t>
            </w:r>
          </w:p>
        </w:tc>
        <w:tc>
          <w:tcPr>
            <w:tcW w:type="dxa" w:w="1728"/>
          </w:tcPr>
          <w:p>
            <w:r>
              <w:rPr>
                <w:rFonts w:ascii="Calibri" w:hAnsi="Calibri"/>
                <w:sz w:val="22"/>
              </w:rPr>
              <w:t>Modest expansion YoY; peak tariff headwind in Q2</w:t>
            </w:r>
          </w:p>
        </w:tc>
        <w:tc>
          <w:tcPr>
            <w:tcW w:type="dxa" w:w="1728"/>
          </w:tcPr>
          <w:p>
            <w:r>
              <w:rPr>
                <w:rFonts w:ascii="Calibri" w:hAnsi="Calibri"/>
                <w:sz w:val="22"/>
              </w:rPr>
              <w:t>—</w:t>
            </w:r>
          </w:p>
        </w:tc>
        <w:tc>
          <w:tcPr>
            <w:tcW w:type="dxa" w:w="1728"/>
          </w:tcPr>
          <w:p>
            <w:r>
              <w:rPr>
                <w:rFonts w:ascii="Calibri" w:hAnsi="Calibri"/>
                <w:sz w:val="22"/>
              </w:rPr>
              <w:t>21.7%</w:t>
            </w:r>
          </w:p>
        </w:tc>
        <w:tc>
          <w:tcPr>
            <w:tcW w:type="dxa" w:w="1728"/>
          </w:tcPr>
          <w:p>
            <w:r>
              <w:rPr>
                <w:rFonts w:ascii="Calibri" w:hAnsi="Calibri"/>
                <w:sz w:val="22"/>
              </w:rPr>
              <w:t>Consensus implies ~60 bps YoY expansion; tariff plateau expected in Q2 before H2 dissipation</w:t>
            </w:r>
          </w:p>
        </w:tc>
      </w:tr>
      <w:tr>
        <w:tc>
          <w:tcPr>
            <w:tcW w:type="dxa" w:w="1728"/>
          </w:tcPr>
          <w:p>
            <w:r>
              <w:rPr>
                <w:rFonts w:ascii="Calibri" w:hAnsi="Calibri"/>
                <w:sz w:val="22"/>
              </w:rPr>
              <w:t>Tariff Impact</w:t>
            </w:r>
          </w:p>
        </w:tc>
        <w:tc>
          <w:tcPr>
            <w:tcW w:type="dxa" w:w="1728"/>
          </w:tcPr>
          <w:p>
            <w:r>
              <w:rPr>
                <w:rFonts w:ascii="Calibri" w:hAnsi="Calibri"/>
                <w:sz w:val="22"/>
              </w:rPr>
              <w:t>Gross tariff cost plateaus in Q2; margin pressure dissipates in H2 as company laps prior-year costs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Section 232 regime change described as financially neutral; all announced tariffs included in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FY 2026 EPS consensus moved only marginally (+0.02%) from the post-earnings baseline — indicating the street has fully digested the guidance raise with </w:t>
      </w:r>
      <w:r>
        <w:rPr>
          <w:rFonts w:ascii="Calibri" w:hAnsi="Calibri"/>
          <w:b/>
          <w:color w:val="525866"/>
          <w:sz w:val="22"/>
        </w:rPr>
        <w:t>no incremental upside being priced in</w:t>
      </w:r>
      <w:r>
        <w:rPr>
          <w:rFonts w:ascii="Calibri" w:hAnsi="Calibri"/>
          <w:color w:val="525866"/>
          <w:sz w:val="22"/>
        </w:rPr>
        <w:t>; consensus sits just above the FY guidance midpoint, leaving a thin but positive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$2.606</w:t>
            </w:r>
          </w:p>
        </w:tc>
        <w:tc>
          <w:tcPr>
            <w:tcW w:type="dxa" w:w="1080"/>
          </w:tcPr>
          <w:p>
            <w:r>
              <w:rPr>
                <w:rFonts w:ascii="Calibri" w:hAnsi="Calibri"/>
                <w:sz w:val="22"/>
              </w:rPr>
              <w:t>$2.610</w:t>
            </w:r>
          </w:p>
        </w:tc>
        <w:tc>
          <w:tcPr>
            <w:tcW w:type="dxa" w:w="1080"/>
          </w:tcPr>
          <w:p>
            <w:r>
              <w:rPr>
                <w:rFonts w:ascii="Calibri" w:hAnsi="Calibri"/>
                <w:sz w:val="22"/>
              </w:rPr>
              <w:t>+0.2%</w:t>
            </w:r>
          </w:p>
        </w:tc>
        <w:tc>
          <w:tcPr>
            <w:tcW w:type="dxa" w:w="1080"/>
          </w:tcPr>
          <w:p>
            <w:r>
              <w:rPr>
                <w:rFonts w:ascii="Calibri" w:hAnsi="Calibri"/>
                <w:sz w:val="22"/>
              </w:rPr>
              <w:t>"Mirror Q1" directional only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point guidance)</w:t>
            </w:r>
          </w:p>
        </w:tc>
      </w:tr>
      <w:tr>
        <w:tc>
          <w:tcPr>
            <w:tcW w:type="dxa" w:w="1080"/>
          </w:tcPr>
          <w:p>
            <w:r>
              <w:rPr>
                <w:rFonts w:ascii="Calibri" w:hAnsi="Calibri"/>
                <w:sz w:val="22"/>
              </w:rPr>
              <w:t>Adj. EPS — FY 2026</w:t>
            </w:r>
          </w:p>
        </w:tc>
        <w:tc>
          <w:tcPr>
            <w:tcW w:type="dxa" w:w="1080"/>
          </w:tcPr>
          <w:p>
            <w:r>
              <w:rPr>
                <w:rFonts w:ascii="Calibri" w:hAnsi="Calibri"/>
                <w:sz w:val="22"/>
              </w:rPr>
              <w:t>$10.619</w:t>
            </w:r>
          </w:p>
        </w:tc>
        <w:tc>
          <w:tcPr>
            <w:tcW w:type="dxa" w:w="1080"/>
          </w:tcPr>
          <w:p>
            <w:r>
              <w:rPr>
                <w:rFonts w:ascii="Calibri" w:hAnsi="Calibri"/>
                <w:sz w:val="22"/>
              </w:rPr>
              <w:t>$10.617</w:t>
            </w:r>
          </w:p>
        </w:tc>
        <w:tc>
          <w:tcPr>
            <w:tcW w:type="dxa" w:w="1080"/>
          </w:tcPr>
          <w:p>
            <w:r>
              <w:rPr>
                <w:rFonts w:ascii="Calibri" w:hAnsi="Calibri"/>
                <w:sz w:val="22"/>
              </w:rPr>
              <w:t>-0.02%</w:t>
            </w:r>
          </w:p>
        </w:tc>
        <w:tc>
          <w:tcPr>
            <w:tcW w:type="dxa" w:w="1080"/>
          </w:tcPr>
          <w:p>
            <w:r>
              <w:rPr>
                <w:rFonts w:ascii="Calibri" w:hAnsi="Calibri"/>
                <w:sz w:val="22"/>
              </w:rPr>
              <w:t>$10.05–$10.45 (pre-Q1 raise)</w:t>
            </w:r>
          </w:p>
        </w:tc>
        <w:tc>
          <w:tcPr>
            <w:tcW w:type="dxa" w:w="1080"/>
          </w:tcPr>
          <w:p>
            <w:r>
              <w:rPr>
                <w:rFonts w:ascii="Calibri" w:hAnsi="Calibri"/>
                <w:sz w:val="22"/>
              </w:rPr>
              <w:t>$10.25–$10.65</w:t>
            </w:r>
          </w:p>
        </w:tc>
        <w:tc>
          <w:tcPr>
            <w:tcW w:type="dxa" w:w="1080"/>
          </w:tcPr>
          <w:p>
            <w:r>
              <w:rPr>
                <w:rFonts w:ascii="Calibri" w:hAnsi="Calibri"/>
                <w:sz w:val="22"/>
              </w:rPr>
              <w:t>+$0.20 midpoint</w:t>
            </w:r>
          </w:p>
        </w:tc>
        <w:tc>
          <w:tcPr>
            <w:tcW w:type="dxa" w:w="1080"/>
          </w:tcPr>
          <w:p>
            <w:r>
              <w:rPr>
                <w:rFonts w:ascii="Calibri" w:hAnsi="Calibri"/>
                <w:sz w:val="22"/>
              </w:rPr>
              <w:t>+1.6% above midpoint</w:t>
            </w:r>
          </w:p>
        </w:tc>
      </w:tr>
      <w:tr>
        <w:tc>
          <w:tcPr>
            <w:tcW w:type="dxa" w:w="1080"/>
          </w:tcPr>
          <w:p>
            <w:r>
              <w:rPr>
                <w:rFonts w:ascii="Calibri" w:hAnsi="Calibri"/>
                <w:sz w:val="22"/>
              </w:rPr>
              <w:t>Revenue — Q2 2026</w:t>
            </w:r>
          </w:p>
        </w:tc>
        <w:tc>
          <w:tcPr>
            <w:tcW w:type="dxa" w:w="1080"/>
          </w:tcPr>
          <w:p>
            <w:r>
              <w:rPr>
                <w:rFonts w:ascii="Calibri" w:hAnsi="Calibri"/>
                <w:sz w:val="22"/>
              </w:rPr>
              <w:t>$3.079B</w:t>
            </w:r>
          </w:p>
        </w:tc>
        <w:tc>
          <w:tcPr>
            <w:tcW w:type="dxa" w:w="1080"/>
          </w:tcPr>
          <w:p>
            <w:r>
              <w:rPr>
                <w:rFonts w:ascii="Calibri" w:hAnsi="Calibri"/>
                <w:sz w:val="22"/>
              </w:rPr>
              <w:t>$3.077B</w:t>
            </w:r>
          </w:p>
        </w:tc>
        <w:tc>
          <w:tcPr>
            <w:tcW w:type="dxa" w:w="1080"/>
          </w:tcPr>
          <w:p>
            <w:r>
              <w:rPr>
                <w:rFonts w:ascii="Calibri" w:hAnsi="Calibri"/>
                <w:sz w:val="22"/>
              </w:rPr>
              <w:t>-0.1%</w:t>
            </w:r>
          </w:p>
        </w:tc>
        <w:tc>
          <w:tcPr>
            <w:tcW w:type="dxa" w:w="1080"/>
          </w:tcPr>
          <w:p>
            <w:r>
              <w:rPr>
                <w:rFonts w:ascii="Calibri" w:hAnsi="Calibri"/>
                <w:sz w:val="22"/>
              </w:rPr>
              <w:t>"Mirror Q1" directional only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point guidance)</w:t>
            </w:r>
          </w:p>
        </w:tc>
      </w:tr>
      <w:tr>
        <w:tc>
          <w:tcPr>
            <w:tcW w:type="dxa" w:w="1080"/>
          </w:tcPr>
          <w:p>
            <w:r>
              <w:rPr>
                <w:rFonts w:ascii="Calibri" w:hAnsi="Calibri"/>
                <w:sz w:val="22"/>
              </w:rPr>
              <w:t>Revenue — FY 2026</w:t>
            </w:r>
          </w:p>
        </w:tc>
        <w:tc>
          <w:tcPr>
            <w:tcW w:type="dxa" w:w="1080"/>
          </w:tcPr>
          <w:p>
            <w:r>
              <w:rPr>
                <w:rFonts w:ascii="Calibri" w:hAnsi="Calibri"/>
                <w:sz w:val="22"/>
              </w:rPr>
              <w:t>$12.389B</w:t>
            </w:r>
          </w:p>
        </w:tc>
        <w:tc>
          <w:tcPr>
            <w:tcW w:type="dxa" w:w="1080"/>
          </w:tcPr>
          <w:p>
            <w:r>
              <w:rPr>
                <w:rFonts w:ascii="Calibri" w:hAnsi="Calibri"/>
                <w:sz w:val="22"/>
              </w:rPr>
              <w:t>$12.386B</w:t>
            </w:r>
          </w:p>
        </w:tc>
        <w:tc>
          <w:tcPr>
            <w:tcW w:type="dxa" w:w="1080"/>
          </w:tcPr>
          <w:p>
            <w:r>
              <w:rPr>
                <w:rFonts w:ascii="Calibri" w:hAnsi="Calibri"/>
                <w:sz w:val="22"/>
              </w:rPr>
              <w:t>-0.02%</w:t>
            </w:r>
          </w:p>
        </w:tc>
        <w:tc>
          <w:tcPr>
            <w:tcW w:type="dxa" w:w="1080"/>
          </w:tcPr>
          <w:p>
            <w:r>
              <w:rPr>
                <w:rFonts w:ascii="Calibri" w:hAnsi="Calibri"/>
                <w:sz w:val="22"/>
              </w:rPr>
              <w:t>$12.19B–$12.49B</w:t>
            </w:r>
          </w:p>
        </w:tc>
        <w:tc>
          <w:tcPr>
            <w:tcW w:type="dxa" w:w="1080"/>
          </w:tcPr>
          <w:p>
            <w:r>
              <w:rPr>
                <w:rFonts w:ascii="Calibri" w:hAnsi="Calibri"/>
                <w:sz w:val="22"/>
              </w:rPr>
              <w:t>$12.19B–$12.49B</w:t>
            </w:r>
          </w:p>
        </w:tc>
        <w:tc>
          <w:tcPr>
            <w:tcW w:type="dxa" w:w="1080"/>
          </w:tcPr>
          <w:p>
            <w:r>
              <w:rPr>
                <w:rFonts w:ascii="Calibri" w:hAnsi="Calibri"/>
                <w:sz w:val="22"/>
              </w:rPr>
              <w:t>Unchanged</w:t>
            </w:r>
          </w:p>
        </w:tc>
        <w:tc>
          <w:tcPr>
            <w:tcW w:type="dxa" w:w="1080"/>
          </w:tcPr>
          <w:p>
            <w:r>
              <w:rPr>
                <w:rFonts w:ascii="Calibri" w:hAnsi="Calibri"/>
                <w:sz w:val="22"/>
              </w:rPr>
              <w:t>+0.1% above midpoint</w:t>
            </w:r>
          </w:p>
        </w:tc>
      </w:tr>
      <w:tr>
        <w:tc>
          <w:tcPr>
            <w:tcW w:type="dxa" w:w="1080"/>
          </w:tcPr>
          <w:p>
            <w:r>
              <w:rPr>
                <w:rFonts w:ascii="Calibri" w:hAnsi="Calibri"/>
                <w:sz w:val="22"/>
              </w:rPr>
              <w:t>Adj. EBITDA — Q2 2026</w:t>
            </w:r>
          </w:p>
        </w:tc>
        <w:tc>
          <w:tcPr>
            <w:tcW w:type="dxa" w:w="1080"/>
          </w:tcPr>
          <w:p>
            <w:r>
              <w:rPr>
                <w:rFonts w:ascii="Calibri" w:hAnsi="Calibri"/>
                <w:sz w:val="22"/>
              </w:rPr>
              <w:t>$725M</w:t>
            </w:r>
          </w:p>
        </w:tc>
        <w:tc>
          <w:tcPr>
            <w:tcW w:type="dxa" w:w="1080"/>
          </w:tcPr>
          <w:p>
            <w:r>
              <w:rPr>
                <w:rFonts w:ascii="Calibri" w:hAnsi="Calibri"/>
                <w:sz w:val="22"/>
              </w:rPr>
              <w:t>$723M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$2.896B</w:t>
            </w:r>
          </w:p>
        </w:tc>
        <w:tc>
          <w:tcPr>
            <w:tcW w:type="dxa" w:w="1080"/>
          </w:tcPr>
          <w:p>
            <w:r>
              <w:rPr>
                <w:rFonts w:ascii="Calibri" w:hAnsi="Calibri"/>
                <w:sz w:val="22"/>
              </w:rPr>
              <w:t>$2.889B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taken as of April 29, 2026 (5 trading days after Q1 2026 print on April 22, 2026).</w:t>
      </w:r>
    </w:p>
    <w:p>
      <w:r>
        <w:rPr>
          <w:rFonts w:ascii="Calibri" w:hAnsi="Calibri"/>
          <w:color w:val="525866"/>
          <w:sz w:val="22"/>
        </w:rPr>
        <w:t>Estimates have been remarkably stable since the Q1 print, with virtually no revision in either direction for EPS or revenue — the street has accepted management's guidance raise at face value without adding incremental cushion. The FY 2026 EPS consensus of $10.62 sits ~1.6% above the guidance midpoint of $10.45, a thin but positive buffer that leaves room for a modest operational beat to flow through without requiring a guidance raise.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WAB has significantly </w:t>
      </w:r>
      <w:r>
        <w:rPr>
          <w:rFonts w:ascii="Calibri" w:hAnsi="Calibri"/>
          <w:b/>
          <w:color w:val="525866"/>
          <w:sz w:val="22"/>
        </w:rPr>
        <w:t>underperformed the transport sector (IYT +10.4%) and the S&amp;P 500 (+5.2%)</w:t>
      </w:r>
      <w:r>
        <w:rPr>
          <w:rFonts w:ascii="Calibri" w:hAnsi="Calibri"/>
          <w:color w:val="525866"/>
          <w:sz w:val="22"/>
        </w:rPr>
        <w:t xml:space="preserve"> since Q1 earnings, returning only +0.8% — the gap reflects market skepticism about the tariff headwind narrative and services revenue pressure from lower modernization deliveries, not a deterioration in fundamentals, and creates a relatively undemanding setup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WAB vs. IYT (Transport ETF) vs. S&amp;P 500 (SPY) — Indexed to 100 at Q1 2026 Earnings Date (April 22, 2026). Source: Yahoo Finance.</w:t>
      </w:r>
    </w:p>
    <w:p>
      <w:pPr>
        <w:pStyle w:val="ListBullet"/>
        <w:ind w:left="360" w:hanging="360"/>
      </w:pPr>
      <w:r>
        <w:rPr>
          <w:rFonts w:ascii="Calibri" w:hAnsi="Calibri"/>
          <w:b/>
          <w:color w:val="525866"/>
          <w:sz w:val="22"/>
        </w:rPr>
        <w:t>WAB +0.8%</w:t>
      </w:r>
      <w:r>
        <w:rPr>
          <w:rFonts w:ascii="Calibri" w:hAnsi="Calibri"/>
          <w:color w:val="525866"/>
          <w:sz w:val="22"/>
        </w:rPr>
        <w:t xml:space="preserve"> since Q1 2026 earnings (Apr 22 close $261.52 → Jul 21 close $263.53), significantly lagging IYT (+10.4%) and SPY (+5.2%).</w:t>
      </w:r>
    </w:p>
    <w:p>
      <w:pPr>
        <w:pStyle w:val="ListBullet"/>
        <w:ind w:left="360" w:hanging="360"/>
      </w:pPr>
      <w:r>
        <w:rPr>
          <w:rFonts w:ascii="Calibri" w:hAnsi="Calibri"/>
          <w:b/>
          <w:color w:val="525866"/>
          <w:sz w:val="22"/>
        </w:rPr>
        <w:t xml:space="preserve">The underperformance is attributable to three factors: </w:t>
      </w:r>
      <w:r>
        <w:rPr>
          <w:rFonts w:ascii="Calibri" w:hAnsi="Calibri"/>
          <w:color w:val="525866"/>
          <w:sz w:val="22"/>
        </w:rPr>
        <w:t>(1) the market discounting the non-operational EPS tailwind in Q1 as non-recurring, (2) tariff overhang with Q2 flagged as the peak gross impact quarter, and (3) services revenue headwind from lower modernization deliveries weighing on near-term growth optics.</w:t>
      </w:r>
    </w:p>
    <w:p>
      <w:pPr>
        <w:pStyle w:val="ListBullet"/>
        <w:ind w:left="360" w:hanging="360"/>
      </w:pPr>
      <w:r>
        <w:rPr>
          <w:rFonts w:ascii="Calibri" w:hAnsi="Calibri"/>
          <w:b/>
          <w:color w:val="525866"/>
          <w:sz w:val="22"/>
        </w:rPr>
        <w:t xml:space="preserve">The stock peaked at ~$282 on June 25 </w:t>
      </w:r>
      <w:r>
        <w:rPr>
          <w:rFonts w:ascii="Calibri" w:hAnsi="Calibri"/>
          <w:color w:val="525866"/>
          <w:sz w:val="22"/>
        </w:rPr>
        <w:t>before pulling back ~9% into earnings, suggesting some pre-earnings caution has been priced in — a clean Q2 print with tariff mitigation commentary could catalyze a re-rating toward the consensus price target of ~$293.</w:t>
      </w:r>
    </w:p>
    <w:p>
      <w:pPr>
        <w:pStyle w:val="ListBullet"/>
        <w:ind w:left="360" w:hanging="360"/>
      </w:pPr>
      <w:r>
        <w:rPr>
          <w:rFonts w:ascii="Calibri" w:hAnsi="Calibri"/>
          <w:b/>
          <w:color w:val="525866"/>
          <w:sz w:val="22"/>
        </w:rPr>
        <w:t xml:space="preserve">At ~$263 (Jul 21 close), WAB trades at approximately 24.8x FY 2026 consensus EPS of $10.62 </w:t>
      </w:r>
      <w:r>
        <w:rPr>
          <w:rFonts w:ascii="Calibri" w:hAnsi="Calibri"/>
          <w:color w:val="525866"/>
          <w:sz w:val="22"/>
        </w:rPr>
        <w:t>— a premium to industrial peers but below its recent peak multiple, consistent with a market that is waiting for evidence that H2 tariff dissipation and EVO modernization ramp materialize as guided.</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Rail operator commentary from Q1 2026 earnings (reported April 22–30, 2026) is broadly constructive for WAB's Q2 2026 outlook — Class 1 railroads are guiding to sequential volume improvement, locomotive overhaul activity is picking up, and the railcar fleet remains tight — while Trinity Industries' (TRN) Q1 2026 commentary confirms </w:t>
      </w:r>
      <w:r>
        <w:rPr>
          <w:rFonts w:ascii="Calibri" w:hAnsi="Calibri"/>
          <w:b/>
          <w:color w:val="525866"/>
          <w:sz w:val="22"/>
        </w:rPr>
        <w:t>railcar inquiry acceleration and a tightening fleet</w:t>
      </w:r>
      <w:r>
        <w:rPr>
          <w:rFonts w:ascii="Calibri" w:hAnsi="Calibri"/>
          <w:color w:val="525866"/>
          <w:sz w:val="22"/>
        </w:rPr>
        <w:t>, which is a positive leading indicator for WAB's services and equipment demand.</w:t>
      </w:r>
    </w:p>
    <w:p>
      <w:pPr>
        <w:pStyle w:val="Heading3"/>
      </w:pPr>
      <w:r>
        <w:rPr>
          <w:rFonts w:ascii="Calibri" w:hAnsi="Calibri"/>
          <w:b/>
          <w:color w:val="3B4259"/>
          <w:sz w:val="24"/>
        </w:rPr>
        <w:t>CSX Corporation (Q1 2026 Earnings — April 22, 2026)</w:t>
      </w:r>
    </w:p>
    <w:p>
      <w:pPr>
        <w:pStyle w:val="ListBullet"/>
        <w:ind w:left="360" w:hanging="360"/>
      </w:pPr>
      <w:r>
        <w:rPr>
          <w:rFonts w:ascii="Calibri" w:hAnsi="Calibri"/>
          <w:b/>
          <w:color w:val="525866"/>
          <w:sz w:val="22"/>
        </w:rPr>
        <w:t xml:space="preserve">Locomotive overhaul costs rising in Q2: </w:t>
      </w:r>
      <w:r>
        <w:rPr>
          <w:rFonts w:ascii="Calibri" w:hAnsi="Calibri"/>
          <w:color w:val="525866"/>
          <w:sz w:val="22"/>
        </w:rPr>
        <w:t>CSX explicitly flagged "timing of contractual locomotive costs, including overhauls" as a Q2 non-seasonal expense headwind, noting overhaul activity will be "a little bit higher than what we saw in the first quarter." This is a direct positive read-through for WAB's Freight services revenue in Q2, as locomotive overhauls are a core WAB aftermarket revenue stream.</w:t>
      </w:r>
    </w:p>
    <w:p>
      <w:pPr>
        <w:pStyle w:val="ListBullet"/>
        <w:ind w:left="360" w:hanging="360"/>
      </w:pPr>
      <w:r>
        <w:rPr>
          <w:rFonts w:ascii="Calibri" w:hAnsi="Calibri"/>
          <w:b/>
          <w:color w:val="525866"/>
          <w:sz w:val="22"/>
        </w:rPr>
        <w:t xml:space="preserve">Volume momentum building into Q2: </w:t>
      </w:r>
      <w:r>
        <w:rPr>
          <w:rFonts w:ascii="Calibri" w:hAnsi="Calibri"/>
          <w:color w:val="525866"/>
          <w:sz w:val="22"/>
        </w:rPr>
        <w:t>CSX raised its full-year revenue guidance to mid-single-digit growth (from low-single-digit), citing higher energy prices and improving freight conversions from trucking. Intermodal momentum and industrial development pipeline (600 active projects, 100 expected to enter service in 2026) signal sustained freight activity — supportive of WAB's installed base utilization and aftermarket demand.</w:t>
      </w:r>
    </w:p>
    <w:p>
      <w:pPr>
        <w:pStyle w:val="ListBullet"/>
        <w:ind w:left="360" w:hanging="360"/>
      </w:pPr>
      <w:r>
        <w:rPr>
          <w:rFonts w:ascii="Calibri" w:hAnsi="Calibri"/>
          <w:b/>
          <w:color w:val="525866"/>
          <w:sz w:val="22"/>
        </w:rPr>
        <w:t xml:space="preserve">Capital discipline maintained: </w:t>
      </w:r>
      <w:r>
        <w:rPr>
          <w:rFonts w:ascii="Calibri" w:hAnsi="Calibri"/>
          <w:color w:val="525866"/>
          <w:sz w:val="22"/>
        </w:rPr>
        <w:t>CSX is holding total 2026 capex below $2.4B with a "stand on its own" project discipline. No new locomotive orders mentioned, consistent with WAB's own commentary that North American new locomotive deliveries remain subdued while modernization is the primary fleet investment lever.</w:t>
      </w:r>
    </w:p>
    <w:p>
      <w:pPr>
        <w:pStyle w:val="Heading3"/>
      </w:pPr>
      <w:r>
        <w:rPr>
          <w:rFonts w:ascii="Calibri" w:hAnsi="Calibri"/>
          <w:b/>
          <w:color w:val="3B4259"/>
          <w:sz w:val="24"/>
        </w:rPr>
        <w:t>Norfolk Southern Corporation (Q1 2026 Earnings — April 24, 2026)</w:t>
      </w:r>
    </w:p>
    <w:p>
      <w:pPr>
        <w:pStyle w:val="ListBullet"/>
        <w:ind w:left="360" w:hanging="360"/>
      </w:pPr>
      <w:r>
        <w:rPr>
          <w:rFonts w:ascii="Calibri" w:hAnsi="Calibri"/>
          <w:b/>
          <w:color w:val="525866"/>
          <w:sz w:val="22"/>
        </w:rPr>
        <w:t xml:space="preserve">DC-to-AC locomotive conversion strategy confirmed: </w:t>
      </w:r>
      <w:r>
        <w:rPr>
          <w:rFonts w:ascii="Calibri" w:hAnsi="Calibri"/>
          <w:color w:val="525866"/>
          <w:sz w:val="22"/>
        </w:rPr>
        <w:t>NSC explicitly cited "conversions from DC to AC" as a core element of its locomotive strategy, aligned with its zero-based planning model. This is a direct read-through for WAB's modernization business — NSC's stated commitment to DC-to-AC conversion supports WAB's multi-year modernization pipeline even as near-term North American modernization deliveries are down double-digits.</w:t>
      </w:r>
    </w:p>
    <w:p>
      <w:pPr>
        <w:pStyle w:val="ListBullet"/>
        <w:ind w:left="360" w:hanging="360"/>
      </w:pPr>
      <w:r>
        <w:rPr>
          <w:rFonts w:ascii="Calibri" w:hAnsi="Calibri"/>
          <w:b/>
          <w:color w:val="525866"/>
          <w:sz w:val="22"/>
        </w:rPr>
        <w:t xml:space="preserve">Cautiously optimistic on Q2 volume recovery: </w:t>
      </w:r>
      <w:r>
        <w:rPr>
          <w:rFonts w:ascii="Calibri" w:hAnsi="Calibri"/>
          <w:color w:val="525866"/>
          <w:sz w:val="22"/>
        </w:rPr>
        <w:t>NSC guided to "typical margin seasonality from Q1 to Q2" of ~200 bps OR improvement, driven by productivity initiatives and an anticipated revenue uptick. The company noted it is "more optimistic on the top line as we enter the second quarter" with "green shoots" in industrial production — a positive signal for WAB's freight equipment and services demand in Q2.</w:t>
      </w:r>
    </w:p>
    <w:p>
      <w:pPr>
        <w:pStyle w:val="ListBullet"/>
        <w:ind w:left="360" w:hanging="360"/>
      </w:pPr>
      <w:r>
        <w:rPr>
          <w:rFonts w:ascii="Calibri" w:hAnsi="Calibri"/>
          <w:b/>
          <w:color w:val="525866"/>
          <w:sz w:val="22"/>
        </w:rPr>
        <w:t xml:space="preserve">Wheel integrity and inspection technology investment: </w:t>
      </w:r>
      <w:r>
        <w:rPr>
          <w:rFonts w:ascii="Calibri" w:hAnsi="Calibri"/>
          <w:color w:val="525866"/>
          <w:sz w:val="22"/>
        </w:rPr>
        <w:t>NSC highlighted improved detection quality in wheel integrity systems and digital inspection tools as key safety investments. This aligns directly with WAB's Inspection Technologies and Frauscher acquisitions, which doubled WAB's digital TAM — NSC's technology investment posture supports the demand thesis for WAB's expanded digital portfolio.</w:t>
      </w:r>
    </w:p>
    <w:p>
      <w:pPr>
        <w:pStyle w:val="Heading3"/>
      </w:pPr>
      <w:r>
        <w:rPr>
          <w:rFonts w:ascii="Calibri" w:hAnsi="Calibri"/>
          <w:b/>
          <w:color w:val="3B4259"/>
          <w:sz w:val="24"/>
        </w:rPr>
        <w:t>Union Pacific Corporation (Q1 2026 Earnings — April 23, 2026)</w:t>
      </w:r>
    </w:p>
    <w:p>
      <w:pPr>
        <w:pStyle w:val="ListBullet"/>
        <w:ind w:left="360" w:hanging="360"/>
      </w:pPr>
      <w:r>
        <w:rPr>
          <w:rFonts w:ascii="Calibri" w:hAnsi="Calibri"/>
          <w:b/>
          <w:color w:val="525866"/>
          <w:sz w:val="22"/>
        </w:rPr>
        <w:t xml:space="preserve">Locomotive fleet efficiency gains reducing near-term new order need: </w:t>
      </w:r>
      <w:r>
        <w:rPr>
          <w:rFonts w:ascii="Calibri" w:hAnsi="Calibri"/>
          <w:color w:val="525866"/>
          <w:sz w:val="22"/>
        </w:rPr>
        <w:t>UNP noted its average active locomotive fleet decreased 4% while gross ton miles increased, with over 100 locomotives parked as a buffer. UNP is also developing more autonomous locomotive technology for fuel conservation. This confirms WAB's own commentary that North American new locomotive demand remains soft near-term, with the fleet renewal thesis more of a 2027+ catalyst.</w:t>
      </w:r>
    </w:p>
    <w:p>
      <w:pPr>
        <w:pStyle w:val="ListBullet"/>
        <w:ind w:left="360" w:hanging="360"/>
      </w:pPr>
      <w:r>
        <w:rPr>
          <w:rFonts w:ascii="Calibri" w:hAnsi="Calibri"/>
          <w:b/>
          <w:color w:val="525866"/>
          <w:sz w:val="22"/>
        </w:rPr>
        <w:t xml:space="preserve">Affirming mid-single-digit EPS growth and OR improvement for 2026: </w:t>
      </w:r>
      <w:r>
        <w:rPr>
          <w:rFonts w:ascii="Calibri" w:hAnsi="Calibri"/>
          <w:color w:val="525866"/>
          <w:sz w:val="22"/>
        </w:rPr>
        <w:t>UNP reaffirmed its 2026 outlook for mid-single-digit reported EPS growth and operating ratio improvement, with a 3-year CAGR target of high-single to low-double-digit EPS growth through 2027. A healthy, improving Class 1 railroad is a prerequisite for sustained WAB aftermarket and services demand — UNP's confidence in its multi-year trajectory is constructive for WAB's long-term backlog conversion.</w:t>
      </w:r>
    </w:p>
    <w:p>
      <w:pPr>
        <w:pStyle w:val="ListBullet"/>
        <w:ind w:left="360" w:hanging="360"/>
      </w:pPr>
      <w:r>
        <w:rPr>
          <w:rFonts w:ascii="Calibri" w:hAnsi="Calibri"/>
          <w:b/>
          <w:color w:val="525866"/>
          <w:sz w:val="22"/>
        </w:rPr>
        <w:t xml:space="preserve">Fuel headwind in Q2 a wildcard: </w:t>
      </w:r>
      <w:r>
        <w:rPr>
          <w:rFonts w:ascii="Calibri" w:hAnsi="Calibri"/>
          <w:color w:val="525866"/>
          <w:sz w:val="22"/>
        </w:rPr>
        <w:t>UNP flagged diesel at "north of $4 per gallon" in April as a Q2 margin headwind. Higher fuel costs historically accelerate locomotive fuel efficiency investments and modernization decisions — a potential incremental tailwind for WAB's digital fuel management and hybrid battery-electric programs.</w:t>
      </w:r>
    </w:p>
    <w:p>
      <w:pPr>
        <w:pStyle w:val="Heading3"/>
      </w:pPr>
      <w:r>
        <w:rPr>
          <w:rFonts w:ascii="Calibri" w:hAnsi="Calibri"/>
          <w:b/>
          <w:color w:val="3B4259"/>
          <w:sz w:val="24"/>
        </w:rPr>
        <w:t>Canadian Pacific Kansas City (CPKC) (Q1 2026 Earnings — April 29, 2026)</w:t>
      </w:r>
    </w:p>
    <w:p>
      <w:pPr>
        <w:pStyle w:val="ListBullet"/>
        <w:ind w:left="360" w:hanging="360"/>
      </w:pPr>
      <w:r>
        <w:rPr>
          <w:rFonts w:ascii="Calibri" w:hAnsi="Calibri"/>
          <w:b/>
          <w:color w:val="525866"/>
          <w:sz w:val="22"/>
        </w:rPr>
        <w:t xml:space="preserve">Adding 100 new Tier 4 locomotives in 2026: </w:t>
      </w:r>
      <w:r>
        <w:rPr>
          <w:rFonts w:ascii="Calibri" w:hAnsi="Calibri"/>
          <w:color w:val="525866"/>
          <w:sz w:val="22"/>
        </w:rPr>
        <w:t>CPKC confirmed it upgraded its fleet with 100 new Tier 4 locomotives in 2025 and is adding another 100 in 2026. While WAB is not the sole supplier, Tier 4 diesel-electric locomotive orders are a core WAB product line — CPKC's confirmed 2026 delivery schedule is a direct positive read-through for WAB's Freight Equipment revenue in Q2 and H2 2026.</w:t>
      </w:r>
    </w:p>
    <w:p>
      <w:pPr>
        <w:pStyle w:val="ListBullet"/>
        <w:ind w:left="360" w:hanging="360"/>
      </w:pPr>
      <w:r>
        <w:rPr>
          <w:rFonts w:ascii="Calibri" w:hAnsi="Calibri"/>
          <w:b/>
          <w:color w:val="525866"/>
          <w:sz w:val="22"/>
        </w:rPr>
        <w:t xml:space="preserve">International trade corridor growth supporting freight volumes: </w:t>
      </w:r>
      <w:r>
        <w:rPr>
          <w:rFonts w:ascii="Calibri" w:hAnsi="Calibri"/>
          <w:color w:val="525866"/>
          <w:sz w:val="22"/>
        </w:rPr>
        <w:t>CPKC's new Laredo bridge "more than doubled capacity" for U.S.-Mexico freight, and the Mexico Midwest Express service continues to grow. Expanding cross-border freight volumes support WAB's international locomotive and services demand, particularly in Latin America where WAB has cited robust carload growth.</w:t>
      </w:r>
    </w:p>
    <w:p>
      <w:pPr>
        <w:pStyle w:val="ListBullet"/>
        <w:ind w:left="360" w:hanging="360"/>
      </w:pPr>
      <w:r>
        <w:rPr>
          <w:rFonts w:ascii="Calibri" w:hAnsi="Calibri"/>
          <w:b/>
          <w:color w:val="525866"/>
          <w:sz w:val="22"/>
        </w:rPr>
        <w:t xml:space="preserve">Hydrogen locomotive program progressing: </w:t>
      </w:r>
      <w:r>
        <w:rPr>
          <w:rFonts w:ascii="Calibri" w:hAnsi="Calibri"/>
          <w:color w:val="525866"/>
          <w:sz w:val="22"/>
        </w:rPr>
        <w:t>CPKC highlighted continued progress on its pioneer hydrogen locomotive program. WAB's hybrid battery-electric programs are directly relevant here — CPKC's investment in alternative fuel locomotives signals a multi-year technology upgrade cycle that WAB is positioned to serve.</w:t>
      </w:r>
    </w:p>
    <w:p>
      <w:pPr>
        <w:pStyle w:val="Heading3"/>
      </w:pPr>
      <w:r>
        <w:rPr>
          <w:rFonts w:ascii="Calibri" w:hAnsi="Calibri"/>
          <w:b/>
          <w:color w:val="3B4259"/>
          <w:sz w:val="24"/>
        </w:rPr>
        <w:t>Trinity Industries (TRN) (Q1 2026 Earnings — April 30, 2026)</w:t>
      </w:r>
    </w:p>
    <w:p>
      <w:pPr>
        <w:pStyle w:val="ListBullet"/>
        <w:ind w:left="360" w:hanging="360"/>
      </w:pPr>
      <w:r>
        <w:rPr>
          <w:rFonts w:ascii="Calibri" w:hAnsi="Calibri"/>
          <w:b/>
          <w:color w:val="525866"/>
          <w:sz w:val="22"/>
        </w:rPr>
        <w:t xml:space="preserve">Railcar inquiries accelerating, fleet tightening: </w:t>
      </w:r>
      <w:r>
        <w:rPr>
          <w:rFonts w:ascii="Calibri" w:hAnsi="Calibri"/>
          <w:color w:val="525866"/>
          <w:sz w:val="22"/>
        </w:rPr>
        <w:t>TRN reported railcar inquiries "trending up since the start of the year" with cars in storage moving below 20% as the industry fleet contracts and carloads rise. Fleet utilization improved to 97.3% with renewal rates 6.6% above expiring rates. A tightening railcar fleet historically precedes increased locomotive utilization and aftermarket demand — a positive leading indicator for WAB's core services business.</w:t>
      </w:r>
    </w:p>
    <w:p>
      <w:pPr>
        <w:pStyle w:val="ListBullet"/>
        <w:ind w:left="360" w:hanging="360"/>
      </w:pPr>
      <w:r>
        <w:rPr>
          <w:rFonts w:ascii="Calibri" w:hAnsi="Calibri"/>
          <w:b/>
          <w:color w:val="525866"/>
          <w:sz w:val="22"/>
        </w:rPr>
        <w:t xml:space="preserve">Industry railcar deliveries of 25,000 expected in 2026: </w:t>
      </w:r>
      <w:r>
        <w:rPr>
          <w:rFonts w:ascii="Calibri" w:hAnsi="Calibri"/>
          <w:color w:val="525866"/>
          <w:sz w:val="22"/>
        </w:rPr>
        <w:t>TRN guided to 25,000 industry railcar deliveries in 2026 (WAB's own guidance cited ~24,000 North American railcar builds, down 22% from 2025). The alignment confirms the near-term railcar build headwind for WAB's components business, but TRN's commentary that "next year might be closer to 30,000–35,000 industry builds" supports WAB's 2027 recovery thesis.</w:t>
      </w:r>
    </w:p>
    <w:p>
      <w:pPr>
        <w:pStyle w:val="ListBullet"/>
        <w:ind w:left="360" w:hanging="360"/>
      </w:pPr>
      <w:r>
        <w:rPr>
          <w:rFonts w:ascii="Calibri" w:hAnsi="Calibri"/>
          <w:b/>
          <w:color w:val="525866"/>
          <w:sz w:val="22"/>
        </w:rPr>
        <w:t xml:space="preserve">Manufacturing PMI above 50 for three consecutive months: </w:t>
      </w:r>
      <w:r>
        <w:rPr>
          <w:rFonts w:ascii="Calibri" w:hAnsi="Calibri"/>
          <w:color w:val="525866"/>
          <w:sz w:val="22"/>
        </w:rPr>
        <w:t>TRN highlighted that the manufacturing PMI has been above 50 for three straight months — the first back-to-back positive reading in over 40 months. Expanding manufacturing activity is a leading indicator for freight volumes and, by extension, WAB's installed base utilization and aftermarket demand heading into Q2 and H2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confirmation of Q2 2026 earnings on July 22 before market open</w:t>
      </w:r>
      <w:r>
        <w:rPr>
          <w:rFonts w:ascii="Calibri" w:hAnsi="Calibri"/>
          <w:color w:val="525866"/>
          <w:sz w:val="22"/>
        </w:rPr>
        <w:t>; no material guidance revisions, M&amp;A announcements, or negative pre-announcements have been issued since April 22, which itself is a constructive signal given the tariff environment.</w:t>
      </w:r>
    </w:p>
    <w:p>
      <w:pPr>
        <w:pStyle w:val="ListBullet"/>
        <w:ind w:left="360" w:hanging="360"/>
      </w:pPr>
      <w:r>
        <w:rPr>
          <w:rFonts w:ascii="Calibri" w:hAnsi="Calibri"/>
          <w:b/>
          <w:color w:val="525866"/>
          <w:sz w:val="22"/>
        </w:rPr>
        <w:t xml:space="preserve">July 22, 2026 — Q2 2026 Earnings Release Confirmed (Before Market Open). </w:t>
      </w:r>
      <w:r>
        <w:rPr>
          <w:rFonts w:ascii="Calibri" w:hAnsi="Calibri"/>
          <w:color w:val="525866"/>
          <w:sz w:val="22"/>
        </w:rPr>
        <w:t>Wabtec confirmed it will report Q2 2026 results before U.S. markets open on July 22, 2026, with a conference call at 8:30 AM ET. No pre-announcement or guidance revision was issued ahead of the print — a positive signal that results are tracking within the guided range.</w:t>
      </w:r>
    </w:p>
    <w:p>
      <w:pPr>
        <w:pStyle w:val="ListBullet"/>
        <w:ind w:left="360" w:hanging="360"/>
      </w:pPr>
      <w:r>
        <w:rPr>
          <w:rFonts w:ascii="Calibri" w:hAnsi="Calibri"/>
          <w:b/>
          <w:color w:val="525866"/>
          <w:sz w:val="22"/>
        </w:rPr>
        <w:t xml:space="preserve">June 24, 2026 — Q2 Earnings Date Announcement. </w:t>
      </w:r>
      <w:r>
        <w:rPr>
          <w:rFonts w:ascii="Calibri" w:hAnsi="Calibri"/>
          <w:color w:val="525866"/>
          <w:sz w:val="22"/>
        </w:rPr>
        <w:t>Wabtec formally announced the Q2 2026 earnings release date. The absence of any concurrent guidance update or pre-announcement is consistent with management's confidence in the FY 2026 guidance range issued on April 22.</w:t>
      </w:r>
    </w:p>
    <w:p>
      <w:pPr>
        <w:pStyle w:val="ListBullet"/>
        <w:ind w:left="360" w:hanging="360"/>
      </w:pPr>
      <w:r>
        <w:rPr>
          <w:rFonts w:ascii="Calibri" w:hAnsi="Calibri"/>
          <w:b/>
          <w:color w:val="525866"/>
          <w:sz w:val="22"/>
        </w:rPr>
        <w:t xml:space="preserve">May 15, 2026 — Annual Meeting: All Management Proposals Approved. </w:t>
      </w:r>
      <w:r>
        <w:rPr>
          <w:rFonts w:ascii="Calibri" w:hAnsi="Calibri"/>
          <w:color w:val="525866"/>
          <w:sz w:val="22"/>
        </w:rPr>
        <w:t>Shareholders approved all management proposals at the 2026 Annual Meeting (8-K filed May 15, 2026). No material governance changes or shareholder activism signals. Implication: stable management team and board composition heading into a critical H2 execution year.</w:t>
      </w:r>
    </w:p>
    <w:p>
      <w:pPr>
        <w:pStyle w:val="ListBullet"/>
        <w:ind w:left="360" w:hanging="360"/>
      </w:pPr>
      <w:r>
        <w:rPr>
          <w:rFonts w:ascii="Calibri" w:hAnsi="Calibri"/>
          <w:b/>
          <w:color w:val="525866"/>
          <w:sz w:val="22"/>
        </w:rPr>
        <w:t xml:space="preserve">April 22, 2026 — Q1 2026 Earnings Beat + FY Guidance Raise. </w:t>
      </w:r>
      <w:r>
        <w:rPr>
          <w:rFonts w:ascii="Calibri" w:hAnsi="Calibri"/>
          <w:color w:val="525866"/>
          <w:sz w:val="22"/>
        </w:rPr>
        <w:t>Adjusted EPS of $2.71 beat consensus of ~$2.52 by 7.5%; FY 2026 EPS guidance raised to $10.25–$10.65 (midpoint +$0.20). Revenue of $2.95B was slightly below consensus. Multiyear backlog reached a record $30.8B (+38% YoY). A multibillion-dollar mining order for drive systems and aftermarket parts was secured. Implication: sets a high operational bar for Q2 but demonstrates execution capability.</w:t>
      </w:r>
    </w:p>
    <w:p>
      <w:pPr>
        <w:pStyle w:val="ListBullet"/>
        <w:ind w:left="360" w:hanging="360"/>
      </w:pPr>
      <w:r>
        <w:rPr>
          <w:rFonts w:ascii="Calibri" w:hAnsi="Calibri"/>
          <w:b/>
          <w:color w:val="525866"/>
          <w:sz w:val="22"/>
        </w:rPr>
        <w:t xml:space="preserve">April 22, 2026 — Acquisitions Tracking Ahead of Plan. </w:t>
      </w:r>
      <w:r>
        <w:rPr>
          <w:rFonts w:ascii="Calibri" w:hAnsi="Calibri"/>
          <w:color w:val="525866"/>
          <w:sz w:val="22"/>
        </w:rPr>
        <w:t>Management confirmed Inspection Technologies, Frauscher, and Dellner are "off to a great start" and "delivering ahead of our acquisition plan." Synergy run-rate savings expected to scale meaningfully over coming years. Implication: acquisition integration is a margin tailwind that should continue to benefit Q2 results, particularly in Transit (Dellner carries above-company-average margins).</w:t>
      </w:r>
    </w:p>
    <w:p>
      <w:pPr>
        <w:pStyle w:val="ListBullet"/>
        <w:ind w:left="360" w:hanging="360"/>
      </w:pPr>
      <w:r>
        <w:rPr>
          <w:rFonts w:ascii="Calibri" w:hAnsi="Calibri"/>
          <w:b/>
          <w:color w:val="525866"/>
          <w:sz w:val="22"/>
        </w:rPr>
        <w:t xml:space="preserve">April 22, 2026 — EVO Modernization Program First Build Underway. </w:t>
      </w:r>
      <w:r>
        <w:rPr>
          <w:rFonts w:ascii="Calibri" w:hAnsi="Calibri"/>
          <w:color w:val="525866"/>
          <w:sz w:val="22"/>
        </w:rPr>
        <w:t>Management confirmed execution of the first EVO modernization build to support commercial rollout. The EVO Advantage program is expected to "unlock significant modernization opportunities" and could benefit Services revenue in H2 2026. Implication: a potential positive catalyst for the services revenue recovery narrative if commercial rollout accelerates.</w:t>
      </w:r>
    </w:p>
    <w:p>
      <w:pPr>
        <w:pStyle w:val="ListBullet"/>
        <w:ind w:left="360" w:hanging="360"/>
      </w:pPr>
      <w:r>
        <w:rPr>
          <w:rFonts w:ascii="Calibri" w:hAnsi="Calibri"/>
          <w:b/>
          <w:color w:val="525866"/>
          <w:sz w:val="22"/>
        </w:rPr>
        <w:t xml:space="preserve">April 22, 2026 — Zero-to-Zero Digital Automation On Track for FRA Approval in 2026. </w:t>
      </w:r>
      <w:r>
        <w:rPr>
          <w:rFonts w:ascii="Calibri" w:hAnsi="Calibri"/>
          <w:color w:val="525866"/>
          <w:sz w:val="22"/>
        </w:rPr>
        <w:t>Management confirmed Zero-to-Zero autonomous train technology is "on track to get approval this year" under new FRA leadership. Implication: regulatory approval would be a significant catalyst for WAB's digital intelligence segment and could expand the TAM for automation solutions.</w:t>
      </w:r>
    </w:p>
    <w:p>
      <w:pPr>
        <w:pStyle w:val="ListBullet"/>
        <w:ind w:left="360" w:hanging="360"/>
      </w:pPr>
      <w:r>
        <w:rPr>
          <w:rFonts w:ascii="Calibri" w:hAnsi="Calibri"/>
          <w:b/>
          <w:color w:val="525866"/>
          <w:sz w:val="22"/>
        </w:rPr>
        <w:t xml:space="preserve">Ongoing — Tariff Environment: Section 232 Regime Change Financially Neutral. </w:t>
      </w:r>
      <w:r>
        <w:rPr>
          <w:rFonts w:ascii="Calibri" w:hAnsi="Calibri"/>
          <w:color w:val="525866"/>
          <w:sz w:val="22"/>
        </w:rPr>
        <w:t>The shift from product-specific Section 232 tariffs to a broader regime was described as "financially neutral" and "much easier to administer." All tariffs announced through April 22 are included in FY 2026 guidance. Peak gross tariff impact expected in Q2 before plateauing. Implication: the tariff narrative should shift from headwind to tailwind in H2 if mitigation execution holds.</w:t>
      </w:r>
    </w:p>
    <w:p>
      <w:pPr>
        <w:pStyle w:val="ListBullet"/>
        <w:ind w:left="360" w:hanging="360"/>
      </w:pPr>
      <w:r>
        <w:rPr>
          <w:rFonts w:ascii="Calibri" w:hAnsi="Calibri"/>
          <w:b/>
          <w:color w:val="525866"/>
          <w:sz w:val="22"/>
        </w:rPr>
        <w:t xml:space="preserve">Ongoing — Analyst Consensus Price Target ~$293 (12-Month). </w:t>
      </w:r>
      <w:r>
        <w:rPr>
          <w:rFonts w:ascii="Calibri" w:hAnsi="Calibri"/>
          <w:color w:val="525866"/>
          <w:sz w:val="22"/>
        </w:rPr>
        <w:t>12 analysts cover WAB with an average 12-month price target of $293.36 (high $318, low $233), implying ~11% upside from the July 20 close of $258. The stock's recent pullback from the June 25 high of ~$282 has reset the setup to a more neutral positioning ahead of the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w:t>
      </w:r>
      <w:r>
        <w:rPr>
          <w:rFonts w:ascii="Calibri" w:hAnsi="Calibri"/>
          <w:b/>
          <w:color w:val="525866"/>
          <w:sz w:val="22"/>
        </w:rPr>
        <w:t>pre-planned 10b5-1 sales by CEO Rafael Santana</w:t>
      </w:r>
      <w:r>
        <w:rPr>
          <w:rFonts w:ascii="Calibri" w:hAnsi="Calibri"/>
          <w:color w:val="525866"/>
          <w:sz w:val="22"/>
        </w:rPr>
        <w:t xml:space="preserve"> at a consistent cadence of ~1,163 shares every few weeks, plus one discretionary sale by the General Counsel — the pattern is routine and obligation-driven, with no open-market buys or unusual discretionary selling that would signal concern about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Jul 7, 2026</w:t>
            </w:r>
          </w:p>
        </w:tc>
        <w:tc>
          <w:tcPr>
            <w:tcW w:type="dxa" w:w="1440"/>
          </w:tcPr>
          <w:p>
            <w:r>
              <w:rPr>
                <w:rFonts w:ascii="Calibri" w:hAnsi="Calibri"/>
                <w:sz w:val="22"/>
              </w:rPr>
              <w:t>Pre-planned; consistent cadence; 121,751 shares retained post-sale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Jul 6, 2026</w:t>
            </w:r>
          </w:p>
        </w:tc>
        <w:tc>
          <w:tcPr>
            <w:tcW w:type="dxa" w:w="1440"/>
          </w:tcPr>
          <w:p>
            <w:r>
              <w:rPr>
                <w:rFonts w:ascii="Calibri" w:hAnsi="Calibri"/>
                <w:sz w:val="22"/>
              </w:rPr>
              <w:t>Pre-planned; consistent cadence; 122,914 shares retained post-sale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Jun 8, 2026</w:t>
            </w:r>
          </w:p>
        </w:tc>
        <w:tc>
          <w:tcPr>
            <w:tcW w:type="dxa" w:w="1440"/>
          </w:tcPr>
          <w:p>
            <w:r>
              <w:rPr>
                <w:rFonts w:ascii="Calibri" w:hAnsi="Calibri"/>
                <w:sz w:val="22"/>
              </w:rPr>
              <w:t>Pre-planned; consistent cadence; 124,077 shares retained post-sale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Jun 5, 2026</w:t>
            </w:r>
          </w:p>
        </w:tc>
        <w:tc>
          <w:tcPr>
            <w:tcW w:type="dxa" w:w="1440"/>
          </w:tcPr>
          <w:p>
            <w:r>
              <w:rPr>
                <w:rFonts w:ascii="Calibri" w:hAnsi="Calibri"/>
                <w:sz w:val="22"/>
              </w:rPr>
              <w:t>Pre-planned; consistent cadence; 125,240 shares retained post-sale</w:t>
            </w:r>
          </w:p>
        </w:tc>
      </w:tr>
      <w:tr>
        <w:tc>
          <w:tcPr>
            <w:tcW w:type="dxa" w:w="1440"/>
          </w:tcPr>
          <w:p>
            <w:r>
              <w:rPr>
                <w:rFonts w:ascii="Calibri" w:hAnsi="Calibri"/>
                <w:sz w:val="22"/>
              </w:rPr>
              <w:t>David L. DeNinno</w:t>
            </w:r>
          </w:p>
        </w:tc>
        <w:tc>
          <w:tcPr>
            <w:tcW w:type="dxa" w:w="1440"/>
          </w:tcPr>
          <w:p>
            <w:r>
              <w:rPr>
                <w:rFonts w:ascii="Calibri" w:hAnsi="Calibri"/>
                <w:sz w:val="22"/>
              </w:rPr>
              <w:t>EVP, General Counsel &amp; Secretary</w:t>
            </w:r>
          </w:p>
        </w:tc>
        <w:tc>
          <w:tcPr>
            <w:tcW w:type="dxa" w:w="1440"/>
          </w:tcPr>
          <w:p>
            <w:r>
              <w:rPr>
                <w:rFonts w:ascii="Calibri" w:hAnsi="Calibri"/>
                <w:sz w:val="22"/>
              </w:rPr>
              <w:t>Open Market Sale</w:t>
            </w:r>
          </w:p>
        </w:tc>
        <w:tc>
          <w:tcPr>
            <w:tcW w:type="dxa" w:w="1440"/>
          </w:tcPr>
          <w:p>
            <w:r>
              <w:rPr>
                <w:rFonts w:ascii="Calibri" w:hAnsi="Calibri"/>
                <w:sz w:val="22"/>
              </w:rPr>
              <w:t>2,500 shares</w:t>
            </w:r>
          </w:p>
        </w:tc>
        <w:tc>
          <w:tcPr>
            <w:tcW w:type="dxa" w:w="1440"/>
          </w:tcPr>
          <w:p>
            <w:r>
              <w:rPr>
                <w:rFonts w:ascii="Calibri" w:hAnsi="Calibri"/>
                <w:sz w:val="22"/>
              </w:rPr>
              <w:t>May 5, 2026</w:t>
            </w:r>
          </w:p>
        </w:tc>
        <w:tc>
          <w:tcPr>
            <w:tcW w:type="dxa" w:w="1440"/>
          </w:tcPr>
          <w:p>
            <w:r>
              <w:rPr>
                <w:rFonts w:ascii="Calibri" w:hAnsi="Calibri"/>
                <w:sz w:val="22"/>
              </w:rPr>
              <w:t>Discretionary sale; not under 10b5-1 plan; 58,128 shares retained post-sale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May 5, 2026</w:t>
            </w:r>
          </w:p>
        </w:tc>
        <w:tc>
          <w:tcPr>
            <w:tcW w:type="dxa" w:w="1440"/>
          </w:tcPr>
          <w:p>
            <w:r>
              <w:rPr>
                <w:rFonts w:ascii="Calibri" w:hAnsi="Calibri"/>
                <w:sz w:val="22"/>
              </w:rPr>
              <w:t>Pre-planned; consistent cadence; 126,403 shares retained post-sale</w:t>
            </w:r>
          </w:p>
        </w:tc>
      </w:tr>
      <w:tr>
        <w:tc>
          <w:tcPr>
            <w:tcW w:type="dxa" w:w="1440"/>
          </w:tcPr>
          <w:p>
            <w:r>
              <w:rPr>
                <w:rFonts w:ascii="Calibri" w:hAnsi="Calibri"/>
                <w:sz w:val="22"/>
              </w:rPr>
              <w:t>Rafael Santana</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1,163 shares</w:t>
            </w:r>
          </w:p>
        </w:tc>
        <w:tc>
          <w:tcPr>
            <w:tcW w:type="dxa" w:w="1440"/>
          </w:tcPr>
          <w:p>
            <w:r>
              <w:rPr>
                <w:rFonts w:ascii="Calibri" w:hAnsi="Calibri"/>
                <w:sz w:val="22"/>
              </w:rPr>
              <w:t>May 4, 2026</w:t>
            </w:r>
          </w:p>
        </w:tc>
        <w:tc>
          <w:tcPr>
            <w:tcW w:type="dxa" w:w="1440"/>
          </w:tcPr>
          <w:p>
            <w:r>
              <w:rPr>
                <w:rFonts w:ascii="Calibri" w:hAnsi="Calibri"/>
                <w:sz w:val="22"/>
              </w:rPr>
              <w:t>Pre-planned; consistent cadence; 127,566 shares retained post-sale</w:t>
            </w:r>
          </w:p>
        </w:tc>
      </w:tr>
    </w:tbl>
    <w:p>
      <w:r>
        <w:rPr>
          <w:rFonts w:ascii="Calibri" w:hAnsi="Calibri"/>
          <w:i/>
          <w:color w:val="525866"/>
          <w:sz w:val="22"/>
        </w:rPr>
        <w:t>Source: SEC Form 4 Filings. Window: April 22, 2026 – July 21, 2026.</w:t>
      </w:r>
    </w:p>
    <w:p>
      <w:r>
        <w:rPr>
          <w:rFonts w:ascii="Calibri" w:hAnsi="Calibri"/>
          <w:color w:val="525866"/>
          <w:sz w:val="22"/>
        </w:rPr>
        <w:t xml:space="preserve">CEO Santana's 10b5-1 sales are highly mechanical — exactly 1,163 shares every few weeks — and are pre-planned obligation-driven dispositions with no informational content about near-term results. The one discretionary sale by General Counsel DeNinno (2,500 shares on May 5) is modest relative to his 58,128-share retained position (~4.1% of holdings) and occurred shortly after the Q1 earnings beat, consistent with routine portfolio management rather than a negative signal. </w:t>
      </w:r>
    </w:p>
    <w:p>
      <w:r>
        <w:rPr>
          <w:rFonts w:ascii="Calibri" w:hAnsi="Calibri"/>
          <w:color w:val="525866"/>
          <w:sz w:val="22"/>
        </w:rPr>
        <w:t>No open-market purchases were recorded in the period. The absence of insider buying is not unusual for a stock trading at a premium multiple, and the consistent retention of large positions by the CEO (121,751 shares retained as of July 7) signals continued alignment with long-term shareholder value creation.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