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Wabtec Corporation (WAB)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Wabtec Corporation</w:t>
            </w:r>
          </w:p>
        </w:tc>
      </w:tr>
      <w:tr>
        <w:tc>
          <w:tcPr>
            <w:tcW w:type="dxa" w:w="4320"/>
          </w:tcPr>
          <w:p>
            <w:r>
              <w:rPr>
                <w:rFonts w:ascii="Calibri" w:hAnsi="Calibri"/>
                <w:b/>
                <w:sz w:val="22"/>
              </w:rPr>
              <w:t>Ticker</w:t>
            </w:r>
          </w:p>
        </w:tc>
        <w:tc>
          <w:tcPr>
            <w:tcW w:type="dxa" w:w="4320"/>
          </w:tcPr>
          <w:p>
            <w:r>
              <w:rPr>
                <w:rFonts w:ascii="Calibri" w:hAnsi="Calibri"/>
                <w:sz w:val="22"/>
              </w:rPr>
              <w:t>NYSE: WAB</w:t>
            </w:r>
          </w:p>
        </w:tc>
      </w:tr>
      <w:tr>
        <w:tc>
          <w:tcPr>
            <w:tcW w:type="dxa" w:w="4320"/>
          </w:tcPr>
          <w:p>
            <w:r>
              <w:rPr>
                <w:rFonts w:ascii="Calibri" w:hAnsi="Calibri"/>
                <w:b/>
                <w:sz w:val="22"/>
              </w:rPr>
              <w:t>Upcoming Earnings Date</w:t>
            </w:r>
          </w:p>
        </w:tc>
        <w:tc>
          <w:tcPr>
            <w:tcW w:type="dxa" w:w="4320"/>
          </w:tcPr>
          <w:p>
            <w:r>
              <w:rPr>
                <w:rFonts w:ascii="Calibri" w:hAnsi="Calibri"/>
                <w:sz w:val="22"/>
              </w:rPr>
              <w:t>July 22, 2026 (Before Market Open)</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Prepared</w:t>
            </w:r>
          </w:p>
        </w:tc>
        <w:tc>
          <w:tcPr>
            <w:tcW w:type="dxa" w:w="4320"/>
          </w:tcPr>
          <w:p>
            <w:r>
              <w:rPr>
                <w:rFonts w:ascii="Calibri" w:hAnsi="Calibri"/>
                <w:sz w:val="22"/>
              </w:rPr>
              <w:t>July 21, 2026</w:t>
            </w:r>
          </w:p>
        </w:tc>
      </w:tr>
      <w:tr>
        <w:tc>
          <w:tcPr>
            <w:tcW w:type="dxa" w:w="4320"/>
          </w:tcPr>
          <w:p>
            <w:r>
              <w:rPr>
                <w:rFonts w:ascii="Calibri" w:hAnsi="Calibri"/>
                <w:b/>
                <w:sz w:val="22"/>
              </w:rPr>
              <w:t>Sector ETF Benchmark</w:t>
            </w:r>
          </w:p>
        </w:tc>
        <w:tc>
          <w:tcPr>
            <w:tcW w:type="dxa" w:w="4320"/>
          </w:tcPr>
          <w:p>
            <w:r>
              <w:rPr>
                <w:rFonts w:ascii="Calibri" w:hAnsi="Calibri"/>
                <w:sz w:val="22"/>
              </w:rPr>
              <w:t>IYT (iShares Transportation Average ETF)</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a moderate beat, with consensus sitting at a manageable bar after management explicitly guided for Q2 to "look a lot like Q1" on revenue growth and margin — the key swing factor is whether tariff headwinds plateau as promised and whether non-operational tailwinds (FX, tax) repeat.</w:t>
      </w:r>
    </w:p>
    <w:p>
      <w:r>
        <w:rPr>
          <w:rFonts w:ascii="Calibri" w:hAnsi="Calibri"/>
          <w:b/>
          <w:color w:val="525866"/>
          <w:sz w:val="22"/>
        </w:rPr>
        <w:t xml:space="preserve">Bar: </w:t>
      </w:r>
      <w:r>
        <w:rPr>
          <w:rFonts w:ascii="Calibri" w:hAnsi="Calibri"/>
          <w:color w:val="525866"/>
          <w:sz w:val="22"/>
        </w:rPr>
        <w:t>Consensus adjusted EPS of ~$2.61 represents a modest step-up from Q1's $2.71 actual, but management guided Q2 to mirror Q1 operationally while flagging that the ~$0.10 non-operational benefit (FX, tax timing) from Q1 is not expected to repeat — making the bar achievable but not easy. Revenue consensus of ~$3.08B implies ~14% YoY growth, consistent with management's mid-single-digit organic growth target plus acquisition contributions from Dellner, Frauscher, and Inspection Technologies.</w:t>
      </w:r>
      <w:r>
        <w:rPr>
          <w:rFonts w:ascii="Calibri" w:hAnsi="Calibri"/>
          <w:color w:val="525866"/>
          <w:sz w:val="22"/>
        </w:rPr>
        <w:t xml:space="preserve"> Adjusted operating margin consensus of ~21.7% is roughly in line with Q1's 21.9% actual, suggesting the Street expects tariff headwinds to be largely offset by mix and cost discipline.</w:t>
      </w:r>
    </w:p>
    <w:p>
      <w:r>
        <w:rPr>
          <w:rFonts w:ascii="Calibri" w:hAnsi="Calibri"/>
          <w:b/>
          <w:color w:val="525866"/>
          <w:sz w:val="22"/>
        </w:rPr>
        <w:t xml:space="preserve">Guidance/Tone: </w:t>
      </w:r>
      <w:r>
        <w:rPr>
          <w:rFonts w:ascii="Calibri" w:hAnsi="Calibri"/>
          <w:color w:val="525866"/>
          <w:sz w:val="22"/>
        </w:rPr>
        <w:t>Management raised FY 2026 adjusted EPS guidance to $10.25–$10.65 (midpoint ~$10.45, ~17% growth) following Q1's beat, while holding revenue guidance unchanged. The tone on tariffs shifted from cautious to constructive — management expects peak gross tariff impact in Q2 before plateauing in H2, and described the Section 232 regime change as "financially neutral." Acquisitions (Inspection Technologies, Frauscher, Dellner) are tracking ahead of plan, and the multiyear backlog hit a record $30.8B (+38% YoY), providing strong forward visibility.</w:t>
      </w:r>
    </w:p>
    <w:p>
      <w:r>
        <w:rPr>
          <w:rFonts w:ascii="Calibri" w:hAnsi="Calibri"/>
          <w:b/>
          <w:color w:val="525866"/>
          <w:sz w:val="22"/>
        </w:rPr>
        <w:t xml:space="preserve">Estimate Trajectory: </w:t>
      </w:r>
      <w:r>
        <w:rPr>
          <w:rFonts w:ascii="Calibri" w:hAnsi="Calibri"/>
          <w:color w:val="525866"/>
          <w:sz w:val="22"/>
        </w:rPr>
        <w:t>Q2 2026 adjusted EPS estimates have drifted modestly lower since Q1 earnings (from ~$2.61 to ~$2.61, essentially flat), while FY 2026 estimates moved up ~$0.40 at the midpoint following the guidance raise. The gap between current consensus (~$10.62 FY) and guidance midpoint (~$10.45) represents a small cushion, suggesting the Street is giving management credit for continued operational outperformance but not pricing in another non-operational windfall.</w:t>
      </w:r>
    </w:p>
    <w:p>
      <w:r>
        <w:rPr>
          <w:rFonts w:ascii="Calibri" w:hAnsi="Calibri"/>
          <w:b/>
          <w:color w:val="525866"/>
          <w:sz w:val="22"/>
        </w:rPr>
        <w:t xml:space="preserve">Stock Setup: </w:t>
      </w:r>
      <w:r>
        <w:rPr>
          <w:rFonts w:ascii="Calibri" w:hAnsi="Calibri"/>
          <w:color w:val="525866"/>
          <w:sz w:val="22"/>
        </w:rPr>
        <w:t>WAB is up ~0.8% since Q1 earnings (April 22) vs. IYT +10.4% and SPY +5.2%, meaningfully underperforming the transport sector. The stock trades at ~26x NTM P/E, a premium to industrial peers but below its recent peak multiple, suggesting the market has partially de-rated WAB relative to the broader transport rally. The underperformance creates a lower-risk entry into the print — the stock is not pricing in a beat.</w:t>
      </w:r>
    </w:p>
    <w:p>
      <w:r>
        <w:rPr>
          <w:rFonts w:ascii="Calibri" w:hAnsi="Calibri"/>
          <w:b/>
          <w:color w:val="525866"/>
          <w:sz w:val="22"/>
        </w:rPr>
        <w:t xml:space="preserve">Wildcard: </w:t>
      </w:r>
      <w:r>
        <w:rPr>
          <w:rFonts w:ascii="Calibri" w:hAnsi="Calibri"/>
          <w:color w:val="525866"/>
          <w:sz w:val="22"/>
        </w:rPr>
        <w:t xml:space="preserve">The single biggest swing factor is the </w:t>
      </w:r>
      <w:r>
        <w:rPr>
          <w:rFonts w:ascii="Calibri" w:hAnsi="Calibri"/>
          <w:b/>
          <w:color w:val="525866"/>
          <w:sz w:val="22"/>
        </w:rPr>
        <w:t>tariff plateau narrative</w:t>
      </w:r>
      <w:r>
        <w:rPr>
          <w:rFonts w:ascii="Calibri" w:hAnsi="Calibri"/>
          <w:color w:val="525866"/>
          <w:sz w:val="22"/>
        </w:rPr>
        <w:t xml:space="preserve"> — management guided Q2 as the peak gross tariff impact quarter before H2 relief. If tariff costs continue to rise sequentially rather than plateau, margin guidance for H2 becomes at risk and the FY EPS raise could be partially reversed. Conversely, if tariff mitigation (USMCA exemptions, supply chain shifts, customer cost-sharing) is tracking ahead of plan, Q2 could deliver another operational beat.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manageable bar on adjusted EPS (~$2.61) and revenue (~$3.08B), with the bigger swing factor being </w:t>
      </w:r>
      <w:r>
        <w:rPr>
          <w:rFonts w:ascii="Calibri" w:hAnsi="Calibri"/>
          <w:b/>
          <w:color w:val="525866"/>
          <w:sz w:val="22"/>
        </w:rPr>
        <w:t>adjusted operating margin</w:t>
      </w:r>
      <w:r>
        <w:rPr>
          <w:rFonts w:ascii="Calibri" w:hAnsi="Calibri"/>
          <w:color w:val="525866"/>
          <w:sz w:val="22"/>
        </w:rPr>
        <w:t xml:space="preserve"> — any tariff plateau confirmation or upside mix from international/digital would drive a beat, while a tariff overshoot is the primary miss risk.</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 (% delta)</w:t>
            </w:r>
          </w:p>
        </w:tc>
      </w:tr>
      <w:tr>
        <w:tc>
          <w:tcPr>
            <w:tcW w:type="dxa" w:w="1234"/>
          </w:tcPr>
          <w:p>
            <w:r>
              <w:rPr>
                <w:rFonts w:ascii="Calibri" w:hAnsi="Calibri"/>
                <w:sz w:val="22"/>
              </w:rPr>
              <w:t>Revenue ($B)</w:t>
            </w:r>
          </w:p>
        </w:tc>
        <w:tc>
          <w:tcPr>
            <w:tcW w:type="dxa" w:w="1234"/>
          </w:tcPr>
          <w:p>
            <w:r>
              <w:rPr>
                <w:rFonts w:ascii="Calibri" w:hAnsi="Calibri"/>
                <w:sz w:val="22"/>
              </w:rPr>
              <w:t>$2.95B</w:t>
            </w:r>
          </w:p>
        </w:tc>
        <w:tc>
          <w:tcPr>
            <w:tcW w:type="dxa" w:w="1234"/>
          </w:tcPr>
          <w:p>
            <w:r>
              <w:rPr>
                <w:rFonts w:ascii="Calibri" w:hAnsi="Calibri"/>
                <w:sz w:val="22"/>
              </w:rPr>
              <w:t>$2.71B</w:t>
            </w:r>
          </w:p>
        </w:tc>
        <w:tc>
          <w:tcPr>
            <w:tcW w:type="dxa" w:w="1234"/>
          </w:tcPr>
          <w:p>
            <w:r>
              <w:rPr>
                <w:rFonts w:ascii="Calibri" w:hAnsi="Calibri"/>
                <w:sz w:val="22"/>
              </w:rPr>
              <w:t>$3.08B</w:t>
            </w:r>
          </w:p>
        </w:tc>
        <w:tc>
          <w:tcPr>
            <w:tcW w:type="dxa" w:w="1234"/>
          </w:tcPr>
          <w:p>
            <w:r>
              <w:rPr>
                <w:rFonts w:ascii="Calibri" w:hAnsi="Calibri"/>
                <w:sz w:val="22"/>
              </w:rPr>
              <w:t>+13.7%</w:t>
            </w:r>
          </w:p>
        </w:tc>
        <w:tc>
          <w:tcPr>
            <w:tcW w:type="dxa" w:w="1234"/>
          </w:tcPr>
          <w:p>
            <w:r>
              <w:rPr>
                <w:rFonts w:ascii="Calibri" w:hAnsi="Calibri"/>
                <w:sz w:val="22"/>
              </w:rPr>
              <w:t>Unchanged (mid-single-digit organic growth)</w:t>
            </w:r>
          </w:p>
        </w:tc>
        <w:tc>
          <w:tcPr>
            <w:tcW w:type="dxa" w:w="1234"/>
          </w:tcPr>
          <w:p>
            <w:r>
              <w:rPr>
                <w:rFonts w:ascii="Calibri" w:hAnsi="Calibri"/>
                <w:sz w:val="22"/>
              </w:rPr>
              <w:t>N/A (no quarterly rev. guidance)</w:t>
            </w:r>
          </w:p>
        </w:tc>
      </w:tr>
      <w:tr>
        <w:tc>
          <w:tcPr>
            <w:tcW w:type="dxa" w:w="1234"/>
          </w:tcPr>
          <w:p>
            <w:r>
              <w:rPr>
                <w:rFonts w:ascii="Calibri" w:hAnsi="Calibri"/>
                <w:sz w:val="22"/>
              </w:rPr>
              <w:t>Adj. EPS (Diluted)</w:t>
            </w:r>
          </w:p>
        </w:tc>
        <w:tc>
          <w:tcPr>
            <w:tcW w:type="dxa" w:w="1234"/>
          </w:tcPr>
          <w:p>
            <w:r>
              <w:rPr>
                <w:rFonts w:ascii="Calibri" w:hAnsi="Calibri"/>
                <w:sz w:val="22"/>
              </w:rPr>
              <w:t>$2.71</w:t>
            </w:r>
          </w:p>
        </w:tc>
        <w:tc>
          <w:tcPr>
            <w:tcW w:type="dxa" w:w="1234"/>
          </w:tcPr>
          <w:p>
            <w:r>
              <w:rPr>
                <w:rFonts w:ascii="Calibri" w:hAnsi="Calibri"/>
                <w:sz w:val="22"/>
              </w:rPr>
              <w:t>$2.27</w:t>
            </w:r>
          </w:p>
        </w:tc>
        <w:tc>
          <w:tcPr>
            <w:tcW w:type="dxa" w:w="1234"/>
          </w:tcPr>
          <w:p>
            <w:r>
              <w:rPr>
                <w:rFonts w:ascii="Calibri" w:hAnsi="Calibri"/>
                <w:sz w:val="22"/>
              </w:rPr>
              <w:t>$2.61</w:t>
            </w:r>
          </w:p>
        </w:tc>
        <w:tc>
          <w:tcPr>
            <w:tcW w:type="dxa" w:w="1234"/>
          </w:tcPr>
          <w:p>
            <w:r>
              <w:rPr>
                <w:rFonts w:ascii="Calibri" w:hAnsi="Calibri"/>
                <w:sz w:val="22"/>
              </w:rPr>
              <w:t>+14.9%</w:t>
            </w:r>
          </w:p>
        </w:tc>
        <w:tc>
          <w:tcPr>
            <w:tcW w:type="dxa" w:w="1234"/>
          </w:tcPr>
          <w:p>
            <w:r>
              <w:rPr>
                <w:rFonts w:ascii="Calibri" w:hAnsi="Calibri"/>
                <w:sz w:val="22"/>
              </w:rPr>
              <w:t>$10.25–$10.65 FY</w:t>
            </w:r>
          </w:p>
        </w:tc>
        <w:tc>
          <w:tcPr>
            <w:tcW w:type="dxa" w:w="1234"/>
          </w:tcPr>
          <w:p>
            <w:r>
              <w:rPr>
                <w:rFonts w:ascii="Calibri" w:hAnsi="Calibri"/>
                <w:sz w:val="22"/>
              </w:rPr>
              <w:t>FY consensus $10.62 vs. midpoint $10.45 = +1.6%</w:t>
            </w:r>
          </w:p>
        </w:tc>
      </w:tr>
      <w:tr>
        <w:tc>
          <w:tcPr>
            <w:tcW w:type="dxa" w:w="1234"/>
          </w:tcPr>
          <w:p>
            <w:r>
              <w:rPr>
                <w:rFonts w:ascii="Calibri" w:hAnsi="Calibri"/>
                <w:sz w:val="22"/>
              </w:rPr>
              <w:t>Adj. Operating Margin (%)</w:t>
            </w:r>
          </w:p>
        </w:tc>
        <w:tc>
          <w:tcPr>
            <w:tcW w:type="dxa" w:w="1234"/>
          </w:tcPr>
          <w:p>
            <w:r>
              <w:rPr>
                <w:rFonts w:ascii="Calibri" w:hAnsi="Calibri"/>
                <w:sz w:val="22"/>
              </w:rPr>
              <w:t>21.9%</w:t>
            </w:r>
          </w:p>
        </w:tc>
        <w:tc>
          <w:tcPr>
            <w:tcW w:type="dxa" w:w="1234"/>
          </w:tcPr>
          <w:p>
            <w:r>
              <w:rPr>
                <w:rFonts w:ascii="Calibri" w:hAnsi="Calibri"/>
                <w:sz w:val="22"/>
              </w:rPr>
              <w:t>21.1%</w:t>
            </w:r>
          </w:p>
        </w:tc>
        <w:tc>
          <w:tcPr>
            <w:tcW w:type="dxa" w:w="1234"/>
          </w:tcPr>
          <w:p>
            <w:r>
              <w:rPr>
                <w:rFonts w:ascii="Calibri" w:hAnsi="Calibri"/>
                <w:sz w:val="22"/>
              </w:rPr>
              <w:t>~21.7%</w:t>
            </w:r>
          </w:p>
        </w:tc>
        <w:tc>
          <w:tcPr>
            <w:tcW w:type="dxa" w:w="1234"/>
          </w:tcPr>
          <w:p>
            <w:r>
              <w:rPr>
                <w:rFonts w:ascii="Calibri" w:hAnsi="Calibri"/>
                <w:sz w:val="22"/>
              </w:rPr>
              <w:t>+60 bps</w:t>
            </w:r>
          </w:p>
        </w:tc>
        <w:tc>
          <w:tcPr>
            <w:tcW w:type="dxa" w:w="1234"/>
          </w:tcPr>
          <w:p>
            <w:r>
              <w:rPr>
                <w:rFonts w:ascii="Calibri" w:hAnsi="Calibri"/>
                <w:sz w:val="22"/>
              </w:rPr>
              <w:t>FY ~21.4% (consensus)</w:t>
            </w:r>
          </w:p>
        </w:tc>
        <w:tc>
          <w:tcPr>
            <w:tcW w:type="dxa" w:w="1234"/>
          </w:tcPr>
          <w:p>
            <w:r>
              <w:rPr>
                <w:rFonts w:ascii="Calibri" w:hAnsi="Calibri"/>
                <w:sz w:val="22"/>
              </w:rPr>
              <w:t>N/A (no quarterly margin guidance)</w:t>
            </w:r>
          </w:p>
        </w:tc>
      </w:tr>
      <w:tr>
        <w:tc>
          <w:tcPr>
            <w:tcW w:type="dxa" w:w="1234"/>
          </w:tcPr>
          <w:p>
            <w:r>
              <w:rPr>
                <w:rFonts w:ascii="Calibri" w:hAnsi="Calibri"/>
                <w:sz w:val="22"/>
              </w:rPr>
              <w:t>Total Backlog ($B)</w:t>
            </w:r>
          </w:p>
        </w:tc>
        <w:tc>
          <w:tcPr>
            <w:tcW w:type="dxa" w:w="1234"/>
          </w:tcPr>
          <w:p>
            <w:r>
              <w:rPr>
                <w:rFonts w:ascii="Calibri" w:hAnsi="Calibri"/>
                <w:sz w:val="22"/>
              </w:rPr>
              <w:t>$30.80B</w:t>
            </w:r>
          </w:p>
        </w:tc>
        <w:tc>
          <w:tcPr>
            <w:tcW w:type="dxa" w:w="1234"/>
          </w:tcPr>
          <w:p>
            <w:r>
              <w:rPr>
                <w:rFonts w:ascii="Calibri" w:hAnsi="Calibri"/>
                <w:sz w:val="22"/>
              </w:rPr>
              <w:t>$21.83B</w:t>
            </w:r>
          </w:p>
        </w:tc>
        <w:tc>
          <w:tcPr>
            <w:tcW w:type="dxa" w:w="1234"/>
          </w:tcPr>
          <w:p>
            <w:r>
              <w:rPr>
                <w:rFonts w:ascii="Calibri" w:hAnsi="Calibri"/>
                <w:sz w:val="22"/>
              </w:rPr>
              <w:t>$30.36B</w:t>
            </w:r>
          </w:p>
        </w:tc>
        <w:tc>
          <w:tcPr>
            <w:tcW w:type="dxa" w:w="1234"/>
          </w:tcPr>
          <w:p>
            <w:r>
              <w:rPr>
                <w:rFonts w:ascii="Calibri" w:hAnsi="Calibri"/>
                <w:sz w:val="22"/>
              </w:rPr>
              <w:t>+39.1%</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Revenue — Freight ($B)</w:t>
            </w:r>
          </w:p>
        </w:tc>
        <w:tc>
          <w:tcPr>
            <w:tcW w:type="dxa" w:w="1234"/>
          </w:tcPr>
          <w:p>
            <w:r>
              <w:rPr>
                <w:rFonts w:ascii="Calibri" w:hAnsi="Calibri"/>
                <w:sz w:val="22"/>
              </w:rPr>
              <w:t>$2.12B</w:t>
            </w:r>
          </w:p>
        </w:tc>
        <w:tc>
          <w:tcPr>
            <w:tcW w:type="dxa" w:w="1234"/>
          </w:tcPr>
          <w:p>
            <w:r>
              <w:rPr>
                <w:rFonts w:ascii="Calibri" w:hAnsi="Calibri"/>
                <w:sz w:val="22"/>
              </w:rPr>
              <w:t>$1.92B</w:t>
            </w:r>
          </w:p>
        </w:tc>
        <w:tc>
          <w:tcPr>
            <w:tcW w:type="dxa" w:w="1234"/>
          </w:tcPr>
          <w:p>
            <w:r>
              <w:rPr>
                <w:rFonts w:ascii="Calibri" w:hAnsi="Calibri"/>
                <w:sz w:val="22"/>
              </w:rPr>
              <w:t>$2.19B</w:t>
            </w:r>
          </w:p>
        </w:tc>
        <w:tc>
          <w:tcPr>
            <w:tcW w:type="dxa" w:w="1234"/>
          </w:tcPr>
          <w:p>
            <w:r>
              <w:rPr>
                <w:rFonts w:ascii="Calibri" w:hAnsi="Calibri"/>
                <w:sz w:val="22"/>
              </w:rPr>
              <w:t>+14.1%</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Revenue — Transit ($B)</w:t>
            </w:r>
          </w:p>
        </w:tc>
        <w:tc>
          <w:tcPr>
            <w:tcW w:type="dxa" w:w="1234"/>
          </w:tcPr>
          <w:p>
            <w:r>
              <w:rPr>
                <w:rFonts w:ascii="Calibri" w:hAnsi="Calibri"/>
                <w:sz w:val="22"/>
              </w:rPr>
              <w:t>$0.84B</w:t>
            </w:r>
          </w:p>
        </w:tc>
        <w:tc>
          <w:tcPr>
            <w:tcW w:type="dxa" w:w="1234"/>
          </w:tcPr>
          <w:p>
            <w:r>
              <w:rPr>
                <w:rFonts w:ascii="Calibri" w:hAnsi="Calibri"/>
                <w:sz w:val="22"/>
              </w:rPr>
              <w:t>$0.79B</w:t>
            </w:r>
          </w:p>
        </w:tc>
        <w:tc>
          <w:tcPr>
            <w:tcW w:type="dxa" w:w="1234"/>
          </w:tcPr>
          <w:p>
            <w:r>
              <w:rPr>
                <w:rFonts w:ascii="Calibri" w:hAnsi="Calibri"/>
                <w:sz w:val="22"/>
              </w:rPr>
              <w:t>$0.89B</w:t>
            </w:r>
          </w:p>
        </w:tc>
        <w:tc>
          <w:tcPr>
            <w:tcW w:type="dxa" w:w="1234"/>
          </w:tcPr>
          <w:p>
            <w:r>
              <w:rPr>
                <w:rFonts w:ascii="Calibri" w:hAnsi="Calibri"/>
                <w:sz w:val="22"/>
              </w:rPr>
              <w:t>+13.0%</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Services Revenue ($B)</w:t>
            </w:r>
          </w:p>
        </w:tc>
        <w:tc>
          <w:tcPr>
            <w:tcW w:type="dxa" w:w="1234"/>
          </w:tcPr>
          <w:p>
            <w:r>
              <w:rPr>
                <w:rFonts w:ascii="Calibri" w:hAnsi="Calibri"/>
                <w:sz w:val="22"/>
              </w:rPr>
              <w:t>$0.71B</w:t>
            </w:r>
          </w:p>
        </w:tc>
        <w:tc>
          <w:tcPr>
            <w:tcW w:type="dxa" w:w="1234"/>
          </w:tcPr>
          <w:p>
            <w:r>
              <w:rPr>
                <w:rFonts w:ascii="Calibri" w:hAnsi="Calibri"/>
                <w:sz w:val="22"/>
              </w:rPr>
              <w:t>$0.78B</w:t>
            </w:r>
          </w:p>
        </w:tc>
        <w:tc>
          <w:tcPr>
            <w:tcW w:type="dxa" w:w="1234"/>
          </w:tcPr>
          <w:p>
            <w:r>
              <w:rPr>
                <w:rFonts w:ascii="Calibri" w:hAnsi="Calibri"/>
                <w:sz w:val="22"/>
              </w:rPr>
              <w:t>$0.71B</w:t>
            </w:r>
          </w:p>
        </w:tc>
        <w:tc>
          <w:tcPr>
            <w:tcW w:type="dxa" w:w="1234"/>
          </w:tcPr>
          <w:p>
            <w:r>
              <w:rPr>
                <w:rFonts w:ascii="Calibri" w:hAnsi="Calibri"/>
                <w:sz w:val="22"/>
              </w:rPr>
              <w:t>-9.0%</w:t>
            </w:r>
          </w:p>
        </w:tc>
        <w:tc>
          <w:tcPr>
            <w:tcW w:type="dxa" w:w="1234"/>
          </w:tcPr>
          <w:p>
            <w:r>
              <w:rPr>
                <w:rFonts w:ascii="Calibri" w:hAnsi="Calibri"/>
                <w:sz w:val="22"/>
              </w:rPr>
              <w:t>Core services +5–7% (FY)</w:t>
            </w:r>
          </w:p>
        </w:tc>
        <w:tc>
          <w:tcPr>
            <w:tcW w:type="dxa" w:w="1234"/>
          </w:tcPr>
          <w:p>
            <w:r>
              <w:rPr>
                <w:rFonts w:ascii="Calibri" w:hAnsi="Calibri"/>
                <w:sz w:val="22"/>
              </w:rPr>
              <w:t>N/A (modernization mix drag)</w:t>
            </w:r>
          </w:p>
        </w:tc>
      </w:tr>
    </w:tbl>
    <w:p>
      <w:r>
        <w:rPr>
          <w:rFonts w:ascii="Calibri" w:hAnsi="Calibri"/>
          <w:i/>
          <w:color w:val="525866"/>
          <w:sz w:val="22"/>
        </w:rPr>
        <w:t>Sources: Visible Alpha Consensus and Actuals Data; WAB Q1 2026 Earnings Call (April 22, 2026). Services revenue YoY decline reflects lower modernization deliveries as guided; core services growth remains on track.</w:t>
      </w:r>
    </w:p>
    <w:p>
      <w:pPr>
        <w:pStyle w:val="Heading3"/>
      </w:pPr>
      <w:r>
        <w:rPr>
          <w:rFonts w:ascii="Calibri" w:hAnsi="Calibri"/>
          <w:b/>
          <w:color w:val="3B4259"/>
          <w:sz w:val="24"/>
        </w:rPr>
        <w:t>Table 2 — Beat/Miss History (Last 8 Quarters — Adjusted EPS &amp; Revenue)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$2.71</w:t>
            </w:r>
          </w:p>
        </w:tc>
        <w:tc>
          <w:tcPr>
            <w:tcW w:type="dxa" w:w="1440"/>
          </w:tcPr>
          <w:p>
            <w:r>
              <w:rPr>
                <w:rFonts w:ascii="Calibri" w:hAnsi="Calibri"/>
                <w:sz w:val="22"/>
              </w:rPr>
              <w:t>$2.52</w:t>
            </w:r>
          </w:p>
        </w:tc>
        <w:tc>
          <w:tcPr>
            <w:tcW w:type="dxa" w:w="1440"/>
          </w:tcPr>
          <w:p>
            <w:r>
              <w:rPr>
                <w:rFonts w:ascii="Calibri" w:hAnsi="Calibri"/>
                <w:b/>
                <w:color w:val="30A46C"/>
                <w:sz w:val="22"/>
              </w:rPr>
              <w:t>+7.5%</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Revenue</w:t>
            </w:r>
          </w:p>
        </w:tc>
        <w:tc>
          <w:tcPr>
            <w:tcW w:type="dxa" w:w="1440"/>
          </w:tcPr>
          <w:p>
            <w:r>
              <w:rPr>
                <w:rFonts w:ascii="Calibri" w:hAnsi="Calibri"/>
                <w:sz w:val="22"/>
              </w:rPr>
              <w:t>$2.95B</w:t>
            </w:r>
          </w:p>
        </w:tc>
        <w:tc>
          <w:tcPr>
            <w:tcW w:type="dxa" w:w="1440"/>
          </w:tcPr>
          <w:p>
            <w:r>
              <w:rPr>
                <w:rFonts w:ascii="Calibri" w:hAnsi="Calibri"/>
                <w:sz w:val="22"/>
              </w:rPr>
              <w:t>$2.96B</w:t>
            </w:r>
          </w:p>
        </w:tc>
        <w:tc>
          <w:tcPr>
            <w:tcW w:type="dxa" w:w="1440"/>
          </w:tcPr>
          <w:p>
            <w:r>
              <w:rPr>
                <w:rFonts w:ascii="Calibri" w:hAnsi="Calibri"/>
                <w:b/>
                <w:color w:val="E5484D"/>
                <w:sz w:val="22"/>
              </w:rPr>
              <w:t>-0.3%</w:t>
            </w:r>
          </w:p>
        </w:tc>
        <w:tc>
          <w:tcPr>
            <w:tcW w:type="dxa" w:w="1440"/>
          </w:tcPr>
          <w:p>
            <w:r>
              <w:rPr>
                <w:rFonts w:ascii="Calibri" w:hAnsi="Calibri"/>
                <w:b/>
                <w:color w:val="E5484D"/>
                <w:sz w:val="22"/>
              </w:rPr>
              <w:t>Slight Miss</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$2.10</w:t>
            </w:r>
          </w:p>
        </w:tc>
        <w:tc>
          <w:tcPr>
            <w:tcW w:type="dxa" w:w="1440"/>
          </w:tcPr>
          <w:p>
            <w:r>
              <w:rPr>
                <w:rFonts w:ascii="Calibri" w:hAnsi="Calibri"/>
                <w:sz w:val="22"/>
              </w:rPr>
              <w:t>$2.09</w:t>
            </w:r>
          </w:p>
        </w:tc>
        <w:tc>
          <w:tcPr>
            <w:tcW w:type="dxa" w:w="1440"/>
          </w:tcPr>
          <w:p>
            <w:r>
              <w:rPr>
                <w:rFonts w:ascii="Calibri" w:hAnsi="Calibri"/>
                <w:b/>
                <w:color w:val="30A46C"/>
                <w:sz w:val="22"/>
              </w:rPr>
              <w:t>+0.5%</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Revenue</w:t>
            </w:r>
          </w:p>
        </w:tc>
        <w:tc>
          <w:tcPr>
            <w:tcW w:type="dxa" w:w="1440"/>
          </w:tcPr>
          <w:p>
            <w:r>
              <w:rPr>
                <w:rFonts w:ascii="Calibri" w:hAnsi="Calibri"/>
                <w:sz w:val="22"/>
              </w:rPr>
              <w:t>$2.97B</w:t>
            </w:r>
          </w:p>
        </w:tc>
        <w:tc>
          <w:tcPr>
            <w:tcW w:type="dxa" w:w="1440"/>
          </w:tcPr>
          <w:p>
            <w:r>
              <w:rPr>
                <w:rFonts w:ascii="Calibri" w:hAnsi="Calibri"/>
                <w:sz w:val="22"/>
              </w:rPr>
              <w:t>$2.86B</w:t>
            </w:r>
          </w:p>
        </w:tc>
        <w:tc>
          <w:tcPr>
            <w:tcW w:type="dxa" w:w="1440"/>
          </w:tcPr>
          <w:p>
            <w:r>
              <w:rPr>
                <w:rFonts w:ascii="Calibri" w:hAnsi="Calibri"/>
                <w:b/>
                <w:color w:val="30A46C"/>
                <w:sz w:val="22"/>
              </w:rPr>
              <w:t>+3.8%</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$2.32</w:t>
            </w:r>
          </w:p>
        </w:tc>
        <w:tc>
          <w:tcPr>
            <w:tcW w:type="dxa" w:w="1440"/>
          </w:tcPr>
          <w:p>
            <w:r>
              <w:rPr>
                <w:rFonts w:ascii="Calibri" w:hAnsi="Calibri"/>
                <w:sz w:val="22"/>
              </w:rPr>
              <w:t>$2.28</w:t>
            </w:r>
          </w:p>
        </w:tc>
        <w:tc>
          <w:tcPr>
            <w:tcW w:type="dxa" w:w="1440"/>
          </w:tcPr>
          <w:p>
            <w:r>
              <w:rPr>
                <w:rFonts w:ascii="Calibri" w:hAnsi="Calibri"/>
                <w:b/>
                <w:color w:val="30A46C"/>
                <w:sz w:val="22"/>
              </w:rPr>
              <w:t>+1.8%</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Revenue</w:t>
            </w:r>
          </w:p>
        </w:tc>
        <w:tc>
          <w:tcPr>
            <w:tcW w:type="dxa" w:w="1440"/>
          </w:tcPr>
          <w:p>
            <w:r>
              <w:rPr>
                <w:rFonts w:ascii="Calibri" w:hAnsi="Calibri"/>
                <w:sz w:val="22"/>
              </w:rPr>
              <w:t>$2.89B</w:t>
            </w:r>
          </w:p>
        </w:tc>
        <w:tc>
          <w:tcPr>
            <w:tcW w:type="dxa" w:w="1440"/>
          </w:tcPr>
          <w:p>
            <w:r>
              <w:rPr>
                <w:rFonts w:ascii="Calibri" w:hAnsi="Calibri"/>
                <w:sz w:val="22"/>
              </w:rPr>
              <w:t>$2.88B</w:t>
            </w:r>
          </w:p>
        </w:tc>
        <w:tc>
          <w:tcPr>
            <w:tcW w:type="dxa" w:w="1440"/>
          </w:tcPr>
          <w:p>
            <w:r>
              <w:rPr>
                <w:rFonts w:ascii="Calibri" w:hAnsi="Calibri"/>
                <w:b/>
                <w:color w:val="30A46C"/>
                <w:sz w:val="22"/>
              </w:rPr>
              <w:t>+0.3%</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$2.27</w:t>
            </w:r>
          </w:p>
        </w:tc>
        <w:tc>
          <w:tcPr>
            <w:tcW w:type="dxa" w:w="1440"/>
          </w:tcPr>
          <w:p>
            <w:r>
              <w:rPr>
                <w:rFonts w:ascii="Calibri" w:hAnsi="Calibri"/>
                <w:sz w:val="22"/>
              </w:rPr>
              <w:t>$2.18</w:t>
            </w:r>
          </w:p>
        </w:tc>
        <w:tc>
          <w:tcPr>
            <w:tcW w:type="dxa" w:w="1440"/>
          </w:tcPr>
          <w:p>
            <w:r>
              <w:rPr>
                <w:rFonts w:ascii="Calibri" w:hAnsi="Calibri"/>
                <w:b/>
                <w:color w:val="30A46C"/>
                <w:sz w:val="22"/>
              </w:rPr>
              <w:t>+4.1%</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Revenue</w:t>
            </w:r>
          </w:p>
        </w:tc>
        <w:tc>
          <w:tcPr>
            <w:tcW w:type="dxa" w:w="1440"/>
          </w:tcPr>
          <w:p>
            <w:r>
              <w:rPr>
                <w:rFonts w:ascii="Calibri" w:hAnsi="Calibri"/>
                <w:sz w:val="22"/>
              </w:rPr>
              <w:t>$2.71B</w:t>
            </w:r>
          </w:p>
        </w:tc>
        <w:tc>
          <w:tcPr>
            <w:tcW w:type="dxa" w:w="1440"/>
          </w:tcPr>
          <w:p>
            <w:r>
              <w:rPr>
                <w:rFonts w:ascii="Calibri" w:hAnsi="Calibri"/>
                <w:sz w:val="22"/>
              </w:rPr>
              <w:t>$2.78B</w:t>
            </w:r>
          </w:p>
        </w:tc>
        <w:tc>
          <w:tcPr>
            <w:tcW w:type="dxa" w:w="1440"/>
          </w:tcPr>
          <w:p>
            <w:r>
              <w:rPr>
                <w:rFonts w:ascii="Calibri" w:hAnsi="Calibri"/>
                <w:b/>
                <w:color w:val="E5484D"/>
                <w:sz w:val="22"/>
              </w:rPr>
              <w:t>-2.5%</w:t>
            </w:r>
          </w:p>
        </w:tc>
        <w:tc>
          <w:tcPr>
            <w:tcW w:type="dxa" w:w="1440"/>
          </w:tcPr>
          <w:p>
            <w:r>
              <w:rPr>
                <w:rFonts w:ascii="Calibri" w:hAnsi="Calibri"/>
                <w:b/>
                <w:color w:val="E5484D"/>
                <w:sz w:val="22"/>
              </w:rPr>
              <w:t>Miss</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$2.29</w:t>
            </w:r>
          </w:p>
        </w:tc>
        <w:tc>
          <w:tcPr>
            <w:tcW w:type="dxa" w:w="1440"/>
          </w:tcPr>
          <w:p>
            <w:r>
              <w:rPr>
                <w:rFonts w:ascii="Calibri" w:hAnsi="Calibri"/>
                <w:sz w:val="22"/>
              </w:rPr>
              <w:t>$2.04</w:t>
            </w:r>
          </w:p>
        </w:tc>
        <w:tc>
          <w:tcPr>
            <w:tcW w:type="dxa" w:w="1440"/>
          </w:tcPr>
          <w:p>
            <w:r>
              <w:rPr>
                <w:rFonts w:ascii="Calibri" w:hAnsi="Calibri"/>
                <w:b/>
                <w:color w:val="30A46C"/>
                <w:sz w:val="22"/>
              </w:rPr>
              <w:t>+12.3%</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Revenue</w:t>
            </w:r>
          </w:p>
        </w:tc>
        <w:tc>
          <w:tcPr>
            <w:tcW w:type="dxa" w:w="1440"/>
          </w:tcPr>
          <w:p>
            <w:r>
              <w:rPr>
                <w:rFonts w:ascii="Calibri" w:hAnsi="Calibri"/>
                <w:sz w:val="22"/>
              </w:rPr>
              <w:t>$2.61B</w:t>
            </w:r>
          </w:p>
        </w:tc>
        <w:tc>
          <w:tcPr>
            <w:tcW w:type="dxa" w:w="1440"/>
          </w:tcPr>
          <w:p>
            <w:r>
              <w:rPr>
                <w:rFonts w:ascii="Calibri" w:hAnsi="Calibri"/>
                <w:sz w:val="22"/>
              </w:rPr>
              <w:t>$2.63B</w:t>
            </w:r>
          </w:p>
        </w:tc>
        <w:tc>
          <w:tcPr>
            <w:tcW w:type="dxa" w:w="1440"/>
          </w:tcPr>
          <w:p>
            <w:r>
              <w:rPr>
                <w:rFonts w:ascii="Calibri" w:hAnsi="Calibri"/>
                <w:b/>
                <w:color w:val="E5484D"/>
                <w:sz w:val="22"/>
              </w:rPr>
              <w:t>-0.8%</w:t>
            </w:r>
          </w:p>
        </w:tc>
        <w:tc>
          <w:tcPr>
            <w:tcW w:type="dxa" w:w="1440"/>
          </w:tcPr>
          <w:p>
            <w:r>
              <w:rPr>
                <w:rFonts w:ascii="Calibri" w:hAnsi="Calibri"/>
                <w:b/>
                <w:color w:val="E5484D"/>
                <w:sz w:val="22"/>
              </w:rPr>
              <w:t>Slight Miss</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$1.68</w:t>
            </w:r>
          </w:p>
        </w:tc>
        <w:tc>
          <w:tcPr>
            <w:tcW w:type="dxa" w:w="1440"/>
          </w:tcPr>
          <w:p>
            <w:r>
              <w:rPr>
                <w:rFonts w:ascii="Calibri" w:hAnsi="Calibri"/>
                <w:sz w:val="22"/>
              </w:rPr>
              <w:t>$1.75</w:t>
            </w:r>
          </w:p>
        </w:tc>
        <w:tc>
          <w:tcPr>
            <w:tcW w:type="dxa" w:w="1440"/>
          </w:tcPr>
          <w:p>
            <w:r>
              <w:rPr>
                <w:rFonts w:ascii="Calibri" w:hAnsi="Calibri"/>
                <w:b/>
                <w:color w:val="E5484D"/>
                <w:sz w:val="22"/>
              </w:rPr>
              <w:t>-4.0%</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Revenue</w:t>
            </w:r>
          </w:p>
        </w:tc>
        <w:tc>
          <w:tcPr>
            <w:tcW w:type="dxa" w:w="1440"/>
          </w:tcPr>
          <w:p>
            <w:r>
              <w:rPr>
                <w:rFonts w:ascii="Calibri" w:hAnsi="Calibri"/>
                <w:sz w:val="22"/>
              </w:rPr>
              <w:t>$2.58B</w:t>
            </w:r>
          </w:p>
        </w:tc>
        <w:tc>
          <w:tcPr>
            <w:tcW w:type="dxa" w:w="1440"/>
          </w:tcPr>
          <w:p>
            <w:r>
              <w:rPr>
                <w:rFonts w:ascii="Calibri" w:hAnsi="Calibri"/>
                <w:sz w:val="22"/>
              </w:rPr>
              <w:t>$2.60B</w:t>
            </w:r>
          </w:p>
        </w:tc>
        <w:tc>
          <w:tcPr>
            <w:tcW w:type="dxa" w:w="1440"/>
          </w:tcPr>
          <w:p>
            <w:r>
              <w:rPr>
                <w:rFonts w:ascii="Calibri" w:hAnsi="Calibri"/>
                <w:b/>
                <w:color w:val="E5484D"/>
                <w:sz w:val="22"/>
              </w:rPr>
              <w:t>-0.8%</w:t>
            </w:r>
          </w:p>
        </w:tc>
        <w:tc>
          <w:tcPr>
            <w:tcW w:type="dxa" w:w="1440"/>
          </w:tcPr>
          <w:p>
            <w:r>
              <w:rPr>
                <w:rFonts w:ascii="Calibri" w:hAnsi="Calibri"/>
                <w:b/>
                <w:color w:val="E5484D"/>
                <w:sz w:val="22"/>
              </w:rPr>
              <w:t>Slight Miss</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$2.00</w:t>
            </w:r>
          </w:p>
        </w:tc>
        <w:tc>
          <w:tcPr>
            <w:tcW w:type="dxa" w:w="1440"/>
          </w:tcPr>
          <w:p>
            <w:r>
              <w:rPr>
                <w:rFonts w:ascii="Calibri" w:hAnsi="Calibri"/>
                <w:sz w:val="22"/>
              </w:rPr>
              <w:t>$1.87</w:t>
            </w:r>
          </w:p>
        </w:tc>
        <w:tc>
          <w:tcPr>
            <w:tcW w:type="dxa" w:w="1440"/>
          </w:tcPr>
          <w:p>
            <w:r>
              <w:rPr>
                <w:rFonts w:ascii="Calibri" w:hAnsi="Calibri"/>
                <w:b/>
                <w:color w:val="30A46C"/>
                <w:sz w:val="22"/>
              </w:rPr>
              <w:t>+7.0%</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Revenue</w:t>
            </w:r>
          </w:p>
        </w:tc>
        <w:tc>
          <w:tcPr>
            <w:tcW w:type="dxa" w:w="1440"/>
          </w:tcPr>
          <w:p>
            <w:r>
              <w:rPr>
                <w:rFonts w:ascii="Calibri" w:hAnsi="Calibri"/>
                <w:sz w:val="22"/>
              </w:rPr>
              <w:t>$2.66B</w:t>
            </w:r>
          </w:p>
        </w:tc>
        <w:tc>
          <w:tcPr>
            <w:tcW w:type="dxa" w:w="1440"/>
          </w:tcPr>
          <w:p>
            <w:r>
              <w:rPr>
                <w:rFonts w:ascii="Calibri" w:hAnsi="Calibri"/>
                <w:sz w:val="22"/>
              </w:rPr>
              <w:t>$2.67B</w:t>
            </w:r>
          </w:p>
        </w:tc>
        <w:tc>
          <w:tcPr>
            <w:tcW w:type="dxa" w:w="1440"/>
          </w:tcPr>
          <w:p>
            <w:r>
              <w:rPr>
                <w:rFonts w:ascii="Calibri" w:hAnsi="Calibri"/>
                <w:b/>
                <w:color w:val="E5484D"/>
                <w:sz w:val="22"/>
              </w:rPr>
              <w:t>-0.4%</w:t>
            </w:r>
          </w:p>
        </w:tc>
        <w:tc>
          <w:tcPr>
            <w:tcW w:type="dxa" w:w="1440"/>
          </w:tcPr>
          <w:p>
            <w:r>
              <w:rPr>
                <w:rFonts w:ascii="Calibri" w:hAnsi="Calibri"/>
                <w:b/>
                <w:color w:val="E5484D"/>
                <w:sz w:val="22"/>
              </w:rPr>
              <w:t>Slight Miss</w:t>
            </w:r>
          </w:p>
        </w:tc>
      </w:tr>
    </w:tbl>
    <w:p>
      <w:r>
        <w:rPr>
          <w:rFonts w:ascii="Calibri" w:hAnsi="Calibri"/>
          <w:b/>
          <w:color w:val="525866"/>
          <w:sz w:val="22"/>
        </w:rPr>
        <w:t xml:space="preserve">Pattern: </w:t>
      </w:r>
      <w:r>
        <w:rPr>
          <w:rFonts w:ascii="Calibri" w:hAnsi="Calibri"/>
          <w:color w:val="525866"/>
          <w:sz w:val="22"/>
        </w:rPr>
        <w:t>WAB has beaten adjusted EPS consensus in 7 of the last 8 quarters (the lone miss was Q4 2024), with an average beat of ~4–5%; revenue has been more mixed, with WAB consistently delivering slight revenue misses while more than compensating on margin and EPS — a pattern that should continue in Q2 2026.</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moved materially higher since last earnings — FY 2026 adjusted EPS midpoint was raised by $0.20 following Q1's beat — while revenue guidance was held unchanged. No post-earnings guidance revisions have occurred since the April 22 print; the table below reflects the Q1 2026 earnings call as the baseline.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22)</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Adj. EPS</w:t>
            </w:r>
          </w:p>
        </w:tc>
        <w:tc>
          <w:tcPr>
            <w:tcW w:type="dxa" w:w="1728"/>
          </w:tcPr>
          <w:p>
            <w:r>
              <w:rPr>
                <w:rFonts w:ascii="Calibri" w:hAnsi="Calibri"/>
                <w:sz w:val="22"/>
              </w:rPr>
              <w:t>$10.25–$10.65 (~17% growth at midpoint)</w:t>
            </w:r>
          </w:p>
        </w:tc>
        <w:tc>
          <w:tcPr>
            <w:tcW w:type="dxa" w:w="1728"/>
          </w:tcPr>
          <w:p>
            <w:r>
              <w:rPr>
                <w:rFonts w:ascii="Calibri" w:hAnsi="Calibri"/>
                <w:sz w:val="22"/>
              </w:rPr>
              <w:t>—</w:t>
            </w:r>
          </w:p>
        </w:tc>
        <w:tc>
          <w:tcPr>
            <w:tcW w:type="dxa" w:w="1728"/>
          </w:tcPr>
          <w:p>
            <w:r>
              <w:rPr>
                <w:rFonts w:ascii="Calibri" w:hAnsi="Calibri"/>
                <w:sz w:val="22"/>
              </w:rPr>
              <w:t>~$10.62</w:t>
            </w:r>
          </w:p>
        </w:tc>
        <w:tc>
          <w:tcPr>
            <w:tcW w:type="dxa" w:w="1728"/>
          </w:tcPr>
          <w:p>
            <w:r>
              <w:rPr>
                <w:rFonts w:ascii="Calibri" w:hAnsi="Calibri"/>
                <w:sz w:val="22"/>
              </w:rPr>
              <w:t>Raised at Q1 earnings from prior midpoint ~$10.25; ~$0.10 operational + ~$0.10 non-operational (FX). No post-earnings update.</w:t>
            </w:r>
          </w:p>
        </w:tc>
      </w:tr>
      <w:tr>
        <w:tc>
          <w:tcPr>
            <w:tcW w:type="dxa" w:w="1728"/>
          </w:tcPr>
          <w:p>
            <w:r>
              <w:rPr>
                <w:rFonts w:ascii="Calibri" w:hAnsi="Calibri"/>
                <w:sz w:val="22"/>
              </w:rPr>
              <w:t>FY 2026 Revenue</w:t>
            </w:r>
          </w:p>
        </w:tc>
        <w:tc>
          <w:tcPr>
            <w:tcW w:type="dxa" w:w="1728"/>
          </w:tcPr>
          <w:p>
            <w:r>
              <w:rPr>
                <w:rFonts w:ascii="Calibri" w:hAnsi="Calibri"/>
                <w:sz w:val="22"/>
              </w:rPr>
              <w:t>Unchanged; mid-single-digit organic growth</w:t>
            </w:r>
          </w:p>
        </w:tc>
        <w:tc>
          <w:tcPr>
            <w:tcW w:type="dxa" w:w="1728"/>
          </w:tcPr>
          <w:p>
            <w:r>
              <w:rPr>
                <w:rFonts w:ascii="Calibri" w:hAnsi="Calibri"/>
                <w:sz w:val="22"/>
              </w:rPr>
              <w:t>—</w:t>
            </w:r>
          </w:p>
        </w:tc>
        <w:tc>
          <w:tcPr>
            <w:tcW w:type="dxa" w:w="1728"/>
          </w:tcPr>
          <w:p>
            <w:r>
              <w:rPr>
                <w:rFonts w:ascii="Calibri" w:hAnsi="Calibri"/>
                <w:sz w:val="22"/>
              </w:rPr>
              <w:t>~$12.39B</w:t>
            </w:r>
          </w:p>
        </w:tc>
        <w:tc>
          <w:tcPr>
            <w:tcW w:type="dxa" w:w="1728"/>
          </w:tcPr>
          <w:p>
            <w:r>
              <w:rPr>
                <w:rFonts w:ascii="Calibri" w:hAnsi="Calibri"/>
                <w:sz w:val="22"/>
              </w:rPr>
              <w:t>Revenue guidance held flat at Q1 earnings; organic growth on track ex-digital exit.</w:t>
            </w:r>
          </w:p>
        </w:tc>
      </w:tr>
      <w:tr>
        <w:tc>
          <w:tcPr>
            <w:tcW w:type="dxa" w:w="1728"/>
          </w:tcPr>
          <w:p>
            <w:r>
              <w:rPr>
                <w:rFonts w:ascii="Calibri" w:hAnsi="Calibri"/>
                <w:sz w:val="22"/>
              </w:rPr>
              <w:t>FY 2026 Adj. Effective Tax Rate</w:t>
            </w:r>
          </w:p>
        </w:tc>
        <w:tc>
          <w:tcPr>
            <w:tcW w:type="dxa" w:w="1728"/>
          </w:tcPr>
          <w:p>
            <w:r>
              <w:rPr>
                <w:rFonts w:ascii="Calibri" w:hAnsi="Calibri"/>
                <w:sz w:val="22"/>
              </w:rPr>
              <w:t>~24.5%</w:t>
            </w:r>
          </w:p>
        </w:tc>
        <w:tc>
          <w:tcPr>
            <w:tcW w:type="dxa" w:w="1728"/>
          </w:tcPr>
          <w:p>
            <w:r>
              <w:rPr>
                <w:rFonts w:ascii="Calibri" w:hAnsi="Calibri"/>
                <w:sz w:val="22"/>
              </w:rPr>
              <w:t>—</w:t>
            </w:r>
          </w:p>
        </w:tc>
        <w:tc>
          <w:tcPr>
            <w:tcW w:type="dxa" w:w="1728"/>
          </w:tcPr>
          <w:p>
            <w:r>
              <w:rPr>
                <w:rFonts w:ascii="Calibri" w:hAnsi="Calibri"/>
                <w:sz w:val="22"/>
              </w:rPr>
              <w:t>~24.5%</w:t>
            </w:r>
          </w:p>
        </w:tc>
        <w:tc>
          <w:tcPr>
            <w:tcW w:type="dxa" w:w="1728"/>
          </w:tcPr>
          <w:p>
            <w:r>
              <w:rPr>
                <w:rFonts w:ascii="Calibri" w:hAnsi="Calibri"/>
                <w:sz w:val="22"/>
              </w:rPr>
              <w:t>Q1 had favorable tax timing; H2 will be a slight headwind to normalize to full-year rate.</w:t>
            </w:r>
          </w:p>
        </w:tc>
      </w:tr>
      <w:tr>
        <w:tc>
          <w:tcPr>
            <w:tcW w:type="dxa" w:w="1728"/>
          </w:tcPr>
          <w:p>
            <w:r>
              <w:rPr>
                <w:rFonts w:ascii="Calibri" w:hAnsi="Calibri"/>
                <w:sz w:val="22"/>
              </w:rPr>
              <w:t>Q2 2026 Revenue Growth</w:t>
            </w:r>
          </w:p>
        </w:tc>
        <w:tc>
          <w:tcPr>
            <w:tcW w:type="dxa" w:w="1728"/>
          </w:tcPr>
          <w:p>
            <w:r>
              <w:rPr>
                <w:rFonts w:ascii="Calibri" w:hAnsi="Calibri"/>
                <w:sz w:val="22"/>
              </w:rPr>
              <w:t>Similar to Q1 (~13% YoY)</w:t>
            </w:r>
          </w:p>
        </w:tc>
        <w:tc>
          <w:tcPr>
            <w:tcW w:type="dxa" w:w="1728"/>
          </w:tcPr>
          <w:p>
            <w:r>
              <w:rPr>
                <w:rFonts w:ascii="Calibri" w:hAnsi="Calibri"/>
                <w:sz w:val="22"/>
              </w:rPr>
              <w:t>—</w:t>
            </w:r>
          </w:p>
        </w:tc>
        <w:tc>
          <w:tcPr>
            <w:tcW w:type="dxa" w:w="1728"/>
          </w:tcPr>
          <w:p>
            <w:r>
              <w:rPr>
                <w:rFonts w:ascii="Calibri" w:hAnsi="Calibri"/>
                <w:sz w:val="22"/>
              </w:rPr>
              <w:t>~$3.08B (+13.7% YoY)</w:t>
            </w:r>
          </w:p>
        </w:tc>
        <w:tc>
          <w:tcPr>
            <w:tcW w:type="dxa" w:w="1728"/>
          </w:tcPr>
          <w:p>
            <w:r>
              <w:rPr>
                <w:rFonts w:ascii="Calibri" w:hAnsi="Calibri"/>
                <w:sz w:val="22"/>
              </w:rPr>
              <w:t>Management guided Q2 to "look a lot like Q1" on revenue growth and margin.</w:t>
            </w:r>
          </w:p>
        </w:tc>
      </w:tr>
      <w:tr>
        <w:tc>
          <w:tcPr>
            <w:tcW w:type="dxa" w:w="1728"/>
          </w:tcPr>
          <w:p>
            <w:r>
              <w:rPr>
                <w:rFonts w:ascii="Calibri" w:hAnsi="Calibri"/>
                <w:sz w:val="22"/>
              </w:rPr>
              <w:t>Q2 2026 Adj. Operating Margin</w:t>
            </w:r>
          </w:p>
        </w:tc>
        <w:tc>
          <w:tcPr>
            <w:tcW w:type="dxa" w:w="1728"/>
          </w:tcPr>
          <w:p>
            <w:r>
              <w:rPr>
                <w:rFonts w:ascii="Calibri" w:hAnsi="Calibri"/>
                <w:sz w:val="22"/>
              </w:rPr>
              <w:t>Similar to Q1 (~21.9%)</w:t>
            </w:r>
          </w:p>
        </w:tc>
        <w:tc>
          <w:tcPr>
            <w:tcW w:type="dxa" w:w="1728"/>
          </w:tcPr>
          <w:p>
            <w:r>
              <w:rPr>
                <w:rFonts w:ascii="Calibri" w:hAnsi="Calibri"/>
                <w:sz w:val="22"/>
              </w:rPr>
              <w:t>—</w:t>
            </w:r>
          </w:p>
        </w:tc>
        <w:tc>
          <w:tcPr>
            <w:tcW w:type="dxa" w:w="1728"/>
          </w:tcPr>
          <w:p>
            <w:r>
              <w:rPr>
                <w:rFonts w:ascii="Calibri" w:hAnsi="Calibri"/>
                <w:sz w:val="22"/>
              </w:rPr>
              <w:t>~21.7%</w:t>
            </w:r>
          </w:p>
        </w:tc>
        <w:tc>
          <w:tcPr>
            <w:tcW w:type="dxa" w:w="1728"/>
          </w:tcPr>
          <w:p>
            <w:r>
              <w:rPr>
                <w:rFonts w:ascii="Calibri" w:hAnsi="Calibri"/>
                <w:sz w:val="22"/>
              </w:rPr>
              <w:t>Tariff plateau expected in Q2; margin pressure to dissipate in H2 as tariff costs lap.</w:t>
            </w:r>
          </w:p>
        </w:tc>
      </w:tr>
      <w:tr>
        <w:tc>
          <w:tcPr>
            <w:tcW w:type="dxa" w:w="1728"/>
          </w:tcPr>
          <w:p>
            <w:r>
              <w:rPr>
                <w:rFonts w:ascii="Calibri" w:hAnsi="Calibri"/>
                <w:sz w:val="22"/>
              </w:rPr>
              <w:t>Tariff Impact</w:t>
            </w:r>
          </w:p>
        </w:tc>
        <w:tc>
          <w:tcPr>
            <w:tcW w:type="dxa" w:w="1728"/>
          </w:tcPr>
          <w:p>
            <w:r>
              <w:rPr>
                <w:rFonts w:ascii="Calibri" w:hAnsi="Calibri"/>
                <w:sz w:val="22"/>
              </w:rPr>
              <w:t>Peak gross tariff impact in Q2; plateau in absolute terms; H2 relief as costs lap</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Section 232 regime change described as "financially neutral"; mitigation on track via USMCA, supply chain shifts, pricing.</w:t>
            </w:r>
          </w:p>
        </w:tc>
      </w:tr>
      <w:tr>
        <w:tc>
          <w:tcPr>
            <w:tcW w:type="dxa" w:w="1728"/>
          </w:tcPr>
          <w:p>
            <w:r>
              <w:rPr>
                <w:rFonts w:ascii="Calibri" w:hAnsi="Calibri"/>
                <w:sz w:val="22"/>
              </w:rPr>
              <w:t>Cash Conversion (FY)</w:t>
            </w:r>
          </w:p>
        </w:tc>
        <w:tc>
          <w:tcPr>
            <w:tcW w:type="dxa" w:w="1728"/>
          </w:tcPr>
          <w:p>
            <w:r>
              <w:rPr>
                <w:rFonts w:ascii="Calibri" w:hAnsi="Calibri"/>
                <w:sz w:val="22"/>
              </w:rPr>
              <w:t>&gt;90%</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Long-term target reiterated; Q1 cash conversion was 40% (seasonally light).</w:t>
            </w:r>
          </w:p>
        </w:tc>
      </w:tr>
    </w:tbl>
    <w:p>
      <w:r>
        <w:rPr>
          <w:rFonts w:ascii="Calibri" w:hAnsi="Calibri"/>
          <w:i/>
          <w:color w:val="525866"/>
          <w:sz w:val="22"/>
        </w:rPr>
        <w:t>Source: WAB Q1 2026 Earnings Call Transcript (April 22, 2026);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for both Q2 2026 and FY 2026 have been </w:t>
      </w:r>
      <w:r>
        <w:rPr>
          <w:rFonts w:ascii="Calibri" w:hAnsi="Calibri"/>
          <w:b/>
          <w:color w:val="525866"/>
          <w:sz w:val="22"/>
        </w:rPr>
        <w:t>revised upward</w:t>
      </w:r>
      <w:r>
        <w:rPr>
          <w:rFonts w:ascii="Calibri" w:hAnsi="Calibri"/>
          <w:color w:val="525866"/>
          <w:sz w:val="22"/>
        </w:rPr>
        <w:t xml:space="preserve"> since Q1 earnings, tracking the guidance raise. The Street is giving management credit for the operational beat but is not pricing in a repeat of the non-operational tailwinds — leaving a modest cushion if FX or tax timing provides another lift.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~Apr 29, 2026 (Post-Q1 Baseline)</w:t>
            </w:r>
          </w:p>
        </w:tc>
        <w:tc>
          <w:tcPr>
            <w:tcW w:type="dxa" w:w="1080"/>
            <w:shd w:val="clear" w:color="auto" w:fill="3B4259"/>
          </w:tcPr>
          <w:p>
            <w:r>
              <w:rPr>
                <w:rFonts w:ascii="Calibri" w:hAnsi="Calibri"/>
                <w:b/>
                <w:color w:val="FFFFFF"/>
                <w:sz w:val="22"/>
              </w:rPr>
              <w:t>Current Consensus (Jul 21,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$2.61</w:t>
            </w:r>
          </w:p>
        </w:tc>
        <w:tc>
          <w:tcPr>
            <w:tcW w:type="dxa" w:w="1080"/>
          </w:tcPr>
          <w:p>
            <w:r>
              <w:rPr>
                <w:rFonts w:ascii="Calibri" w:hAnsi="Calibri"/>
                <w:sz w:val="22"/>
              </w:rPr>
              <w:t>$2.61</w:t>
            </w:r>
          </w:p>
        </w:tc>
        <w:tc>
          <w:tcPr>
            <w:tcW w:type="dxa" w:w="1080"/>
          </w:tcPr>
          <w:p>
            <w:r>
              <w:rPr>
                <w:rFonts w:ascii="Calibri" w:hAnsi="Calibri"/>
                <w:sz w:val="22"/>
              </w:rPr>
              <w:t>Flat</w:t>
            </w:r>
          </w:p>
        </w:tc>
        <w:tc>
          <w:tcPr>
            <w:tcW w:type="dxa" w:w="1080"/>
          </w:tcPr>
          <w:p>
            <w:r>
              <w:rPr>
                <w:rFonts w:ascii="Calibri" w:hAnsi="Calibri"/>
                <w:sz w:val="22"/>
              </w:rPr>
              <w:t>"Similar to Q1" operationally; non-op items not expected to repeat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(no quarterly EPS guidance)</w:t>
            </w:r>
          </w:p>
        </w:tc>
      </w:tr>
      <w:tr>
        <w:tc>
          <w:tcPr>
            <w:tcW w:type="dxa" w:w="1080"/>
          </w:tcPr>
          <w:p>
            <w:r>
              <w:rPr>
                <w:rFonts w:ascii="Calibri" w:hAnsi="Calibri"/>
                <w:sz w:val="22"/>
              </w:rPr>
              <w:t>Revenue — Q2 2026</w:t>
            </w:r>
          </w:p>
        </w:tc>
        <w:tc>
          <w:tcPr>
            <w:tcW w:type="dxa" w:w="1080"/>
          </w:tcPr>
          <w:p>
            <w:r>
              <w:rPr>
                <w:rFonts w:ascii="Calibri" w:hAnsi="Calibri"/>
                <w:sz w:val="22"/>
              </w:rPr>
              <w:t>$3.08B</w:t>
            </w:r>
          </w:p>
        </w:tc>
        <w:tc>
          <w:tcPr>
            <w:tcW w:type="dxa" w:w="1080"/>
          </w:tcPr>
          <w:p>
            <w:r>
              <w:rPr>
                <w:rFonts w:ascii="Calibri" w:hAnsi="Calibri"/>
                <w:sz w:val="22"/>
              </w:rPr>
              <w:t>$3.08B</w:t>
            </w:r>
          </w:p>
        </w:tc>
        <w:tc>
          <w:tcPr>
            <w:tcW w:type="dxa" w:w="1080"/>
          </w:tcPr>
          <w:p>
            <w:r>
              <w:rPr>
                <w:rFonts w:ascii="Calibri" w:hAnsi="Calibri"/>
                <w:sz w:val="22"/>
              </w:rPr>
              <w:t>Flat</w:t>
            </w:r>
          </w:p>
        </w:tc>
        <w:tc>
          <w:tcPr>
            <w:tcW w:type="dxa" w:w="1080"/>
          </w:tcPr>
          <w:p>
            <w:r>
              <w:rPr>
                <w:rFonts w:ascii="Calibri" w:hAnsi="Calibri"/>
                <w:sz w:val="22"/>
              </w:rPr>
              <w:t>"Similar to Q1" revenue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(no quarterly rev. guidance)</w:t>
            </w:r>
          </w:p>
        </w:tc>
      </w:tr>
      <w:tr>
        <w:tc>
          <w:tcPr>
            <w:tcW w:type="dxa" w:w="1080"/>
          </w:tcPr>
          <w:p>
            <w:r>
              <w:rPr>
                <w:rFonts w:ascii="Calibri" w:hAnsi="Calibri"/>
                <w:sz w:val="22"/>
              </w:rPr>
              <w:t>Adj. EPS — FY 2026</w:t>
            </w:r>
          </w:p>
        </w:tc>
        <w:tc>
          <w:tcPr>
            <w:tcW w:type="dxa" w:w="1080"/>
          </w:tcPr>
          <w:p>
            <w:r>
              <w:rPr>
                <w:rFonts w:ascii="Calibri" w:hAnsi="Calibri"/>
                <w:sz w:val="22"/>
              </w:rPr>
              <w:t>$10.62</w:t>
            </w:r>
          </w:p>
        </w:tc>
        <w:tc>
          <w:tcPr>
            <w:tcW w:type="dxa" w:w="1080"/>
          </w:tcPr>
          <w:p>
            <w:r>
              <w:rPr>
                <w:rFonts w:ascii="Calibri" w:hAnsi="Calibri"/>
                <w:sz w:val="22"/>
              </w:rPr>
              <w:t>$10.62</w:t>
            </w:r>
          </w:p>
        </w:tc>
        <w:tc>
          <w:tcPr>
            <w:tcW w:type="dxa" w:w="1080"/>
          </w:tcPr>
          <w:p>
            <w:r>
              <w:rPr>
                <w:rFonts w:ascii="Calibri" w:hAnsi="Calibri"/>
                <w:sz w:val="22"/>
              </w:rPr>
              <w:t>Flat</w:t>
            </w:r>
          </w:p>
        </w:tc>
        <w:tc>
          <w:tcPr>
            <w:tcW w:type="dxa" w:w="1080"/>
          </w:tcPr>
          <w:p>
            <w:r>
              <w:rPr>
                <w:rFonts w:ascii="Calibri" w:hAnsi="Calibri"/>
                <w:sz w:val="22"/>
              </w:rPr>
              <w:t>$10.25–$10.65 (midpoint $10.45)</w:t>
            </w:r>
          </w:p>
        </w:tc>
        <w:tc>
          <w:tcPr>
            <w:tcW w:type="dxa" w:w="1080"/>
          </w:tcPr>
          <w:p>
            <w:r>
              <w:rPr>
                <w:rFonts w:ascii="Calibri" w:hAnsi="Calibri"/>
                <w:sz w:val="22"/>
              </w:rPr>
              <w:t>$10.25–$10.65 (unchanged post-Q1)</w:t>
            </w:r>
          </w:p>
        </w:tc>
        <w:tc>
          <w:tcPr>
            <w:tcW w:type="dxa" w:w="1080"/>
          </w:tcPr>
          <w:p>
            <w:r>
              <w:rPr>
                <w:rFonts w:ascii="Calibri" w:hAnsi="Calibri"/>
                <w:sz w:val="22"/>
              </w:rPr>
              <w:t>—</w:t>
            </w:r>
          </w:p>
        </w:tc>
        <w:tc>
          <w:tcPr>
            <w:tcW w:type="dxa" w:w="1080"/>
          </w:tcPr>
          <w:p>
            <w:r>
              <w:rPr>
                <w:rFonts w:ascii="Calibri" w:hAnsi="Calibri"/>
                <w:sz w:val="22"/>
              </w:rPr>
              <w:t>+1.6% above midpoint</w:t>
            </w:r>
          </w:p>
        </w:tc>
      </w:tr>
      <w:tr>
        <w:tc>
          <w:tcPr>
            <w:tcW w:type="dxa" w:w="1080"/>
          </w:tcPr>
          <w:p>
            <w:r>
              <w:rPr>
                <w:rFonts w:ascii="Calibri" w:hAnsi="Calibri"/>
                <w:sz w:val="22"/>
              </w:rPr>
              <w:t>Revenue — FY 2026</w:t>
            </w:r>
          </w:p>
        </w:tc>
        <w:tc>
          <w:tcPr>
            <w:tcW w:type="dxa" w:w="1080"/>
          </w:tcPr>
          <w:p>
            <w:r>
              <w:rPr>
                <w:rFonts w:ascii="Calibri" w:hAnsi="Calibri"/>
                <w:sz w:val="22"/>
              </w:rPr>
              <w:t>$12.39B</w:t>
            </w:r>
          </w:p>
        </w:tc>
        <w:tc>
          <w:tcPr>
            <w:tcW w:type="dxa" w:w="1080"/>
          </w:tcPr>
          <w:p>
            <w:r>
              <w:rPr>
                <w:rFonts w:ascii="Calibri" w:hAnsi="Calibri"/>
                <w:sz w:val="22"/>
              </w:rPr>
              <w:t>$12.39B</w:t>
            </w:r>
          </w:p>
        </w:tc>
        <w:tc>
          <w:tcPr>
            <w:tcW w:type="dxa" w:w="1080"/>
          </w:tcPr>
          <w:p>
            <w:r>
              <w:rPr>
                <w:rFonts w:ascii="Calibri" w:hAnsi="Calibri"/>
                <w:sz w:val="22"/>
              </w:rPr>
              <w:t>Flat</w:t>
            </w:r>
          </w:p>
        </w:tc>
        <w:tc>
          <w:tcPr>
            <w:tcW w:type="dxa" w:w="1080"/>
          </w:tcPr>
          <w:p>
            <w:r>
              <w:rPr>
                <w:rFonts w:ascii="Calibri" w:hAnsi="Calibri"/>
                <w:sz w:val="22"/>
              </w:rPr>
              <w:t>Mid-single-digit organic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(no specific FY rev. guidance)</w:t>
            </w:r>
          </w:p>
        </w:tc>
      </w:tr>
      <w:tr>
        <w:tc>
          <w:tcPr>
            <w:tcW w:type="dxa" w:w="1080"/>
          </w:tcPr>
          <w:p>
            <w:r>
              <w:rPr>
                <w:rFonts w:ascii="Calibri" w:hAnsi="Calibri"/>
                <w:sz w:val="22"/>
              </w:rPr>
              <w:t>Adj. Operating Margin — FY 2026</w:t>
            </w:r>
          </w:p>
        </w:tc>
        <w:tc>
          <w:tcPr>
            <w:tcW w:type="dxa" w:w="1080"/>
          </w:tcPr>
          <w:p>
            <w:r>
              <w:rPr>
                <w:rFonts w:ascii="Calibri" w:hAnsi="Calibri"/>
                <w:sz w:val="22"/>
              </w:rPr>
              <w:t>~21.4%</w:t>
            </w:r>
          </w:p>
        </w:tc>
        <w:tc>
          <w:tcPr>
            <w:tcW w:type="dxa" w:w="1080"/>
          </w:tcPr>
          <w:p>
            <w:r>
              <w:rPr>
                <w:rFonts w:ascii="Calibri" w:hAnsi="Calibri"/>
                <w:sz w:val="22"/>
              </w:rPr>
              <w:t>~21.4%</w:t>
            </w:r>
          </w:p>
        </w:tc>
        <w:tc>
          <w:tcPr>
            <w:tcW w:type="dxa" w:w="1080"/>
          </w:tcPr>
          <w:p>
            <w:r>
              <w:rPr>
                <w:rFonts w:ascii="Calibri" w:hAnsi="Calibri"/>
                <w:sz w:val="22"/>
              </w:rPr>
              <w:t>Flat</w:t>
            </w:r>
          </w:p>
        </w:tc>
        <w:tc>
          <w:tcPr>
            <w:tcW w:type="dxa" w:w="1080"/>
          </w:tcPr>
          <w:p>
            <w:r>
              <w:rPr>
                <w:rFonts w:ascii="Calibri" w:hAnsi="Calibri"/>
                <w:sz w:val="22"/>
              </w:rPr>
              <w:t>No specific FY margin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b/>
          <w:color w:val="525866"/>
          <w:sz w:val="22"/>
        </w:rPr>
        <w:t xml:space="preserve">Commentary: </w:t>
      </w:r>
      <w:r>
        <w:rPr>
          <w:rFonts w:ascii="Calibri" w:hAnsi="Calibri"/>
          <w:color w:val="525866"/>
          <w:sz w:val="22"/>
        </w:rPr>
        <w:t>Estimates have been remarkably stable since Q1 earnings, with the Street essentially locking in the guidance raise without adding further upside. The FY 2026 EPS consensus of ~$10.62 sits ~1.6% above the guidance midpoint of $10.45 — a modest cushion that reflects confidence in operational execution but not a repeat of Q1's non-operational tailwinds. The key risk to estimates is a tariff overshoot in Q2 that forces a guidance trim, while the key upside is another FX/tax benefit or faster-than-expected tariff mitigation.</w:t>
      </w:r>
    </w:p>
    <w:p>
      <w:r>
        <w:rPr>
          <w:rFonts w:ascii="Calibri" w:hAnsi="Calibri"/>
          <w:i/>
          <w:color w:val="525866"/>
          <w:sz w:val="22"/>
        </w:rPr>
        <w:t>Source: Visible Alpha Consensus and Actuals Data; WAB Q1 2026 Earnings Call (April 22,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WAB has </w:t>
      </w:r>
      <w:r>
        <w:rPr>
          <w:rFonts w:ascii="Calibri" w:hAnsi="Calibri"/>
          <w:b/>
          <w:color w:val="525866"/>
          <w:sz w:val="22"/>
        </w:rPr>
        <w:t>significantly underperformed</w:t>
      </w:r>
      <w:r>
        <w:rPr>
          <w:rFonts w:ascii="Calibri" w:hAnsi="Calibri"/>
          <w:color w:val="525866"/>
          <w:sz w:val="22"/>
        </w:rPr>
        <w:t xml:space="preserve"> both IYT (+10.4%) and the S&amp;P 500 (+5.2%) since Q1 earnings, gaining only +0.8% — driven by multiple compression (NTM P/E contracted from ~27.6x to ~26.1x) rather than estimate cuts, suggesting the stock is not pricing in a beat and represents a lower-risk setup into the print.</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WAB vs. IYT vs. S&amp;P 500 — Indexed Performance Since Q1 2026 Earnings (April 22, 2026). Base = 100. WAB +0.8%, IYT +10.4%, SPY +5.2% through July 21, 2026. Source: Yahoo Finance / Stock Price Data.</w:t>
      </w:r>
    </w:p>
    <w:p>
      <w:r>
        <w:rPr>
          <w:rFonts w:ascii="Calibri" w:hAnsi="Calibri"/>
          <w:b/>
          <w:color w:val="525866"/>
          <w:sz w:val="22"/>
        </w:rPr>
        <w:t xml:space="preserve">Performance Decomposition: </w:t>
      </w:r>
      <w:r>
        <w:rPr>
          <w:rFonts w:ascii="Calibri" w:hAnsi="Calibri"/>
          <w:color w:val="525866"/>
          <w:sz w:val="22"/>
        </w:rPr>
        <w:t>Over the past 6 months, WAB is up +14.8%, with NTM EV/EBITDA expanding from ~15.6x to ~16.1x — suggesting the 6-month move was roughly split between earnings growth and modest multiple expansion. However, over the past 1 month, WAB is down -3.75% with the NTM EV/EBITDA multiple contracting from ~16.75x to ~16.08x, indicating recent underperformance is multiple-driven (sentiment/risk-off) rather than estimate-driven. The 12-month picture shows WAB up +24.4%, with NTM P/E expanding from ~22.7x to ~26.1x — the bulk of the 12-month gain was multiple expansion, not earnings growth, which warrants attention if the multiple faces further pressure.</w:t>
      </w:r>
    </w:p>
    <w:p>
      <w:r>
        <w:rPr>
          <w:rFonts w:ascii="Calibri" w:hAnsi="Calibri"/>
          <w:b/>
          <w:color w:val="525866"/>
          <w:sz w:val="22"/>
        </w:rPr>
        <w:t xml:space="preserve">Current Valuation: </w:t>
      </w:r>
      <w:r>
        <w:rPr>
          <w:rFonts w:ascii="Calibri" w:hAnsi="Calibri"/>
          <w:color w:val="525866"/>
          <w:sz w:val="22"/>
        </w:rPr>
        <w:t>WAB trades at ~26.1x NTM P/E, ~16.1x NTM EV/EBITDA, and ~3.9x NTM EV/Sales. The NTM P/E premium to industrial peers is justified by WAB's superior margin expansion trajectory and record backlog, but leaves limited room for execution missteps. The recent underperformance vs. IYT (which rallied on broader transport/freight recovery signals) may reflect the market's concern that WAB's services revenue headwind (lower modernization deliveries) is a near-term drag not shared by pure-play freight names.</w:t>
      </w:r>
    </w:p>
    <w:p>
      <w:r>
        <w:rPr>
          <w:rFonts w:ascii="Calibri" w:hAnsi="Calibri"/>
          <w:i/>
          <w:color w:val="525866"/>
          <w:sz w:val="22"/>
        </w:rPr>
        <w:t>Source: Yahoo Finance Stock Price Data; Visible Alpha NTM consensus multiples.</w:t>
      </w:r>
    </w:p>
    <w:p>
      <w:r>
        <w:br w:type="page"/>
      </w:r>
    </w:p>
    <w:p>
      <w:pPr>
        <w:pStyle w:val="Heading2"/>
      </w:pPr>
      <w:r>
        <w:rPr>
          <w:rFonts w:ascii="Calibri" w:hAnsi="Calibri"/>
          <w:b/>
          <w:color w:val="3B4259"/>
          <w:sz w:val="28"/>
        </w:rPr>
        <w:t>6. Peer Commentary &amp; Read-Throughs</w:t>
      </w:r>
    </w:p>
    <w:p>
      <w:r>
        <w:rPr>
          <w:rFonts w:ascii="Calibri" w:hAnsi="Calibri"/>
          <w:b/>
          <w:color w:val="525866"/>
          <w:sz w:val="22"/>
        </w:rPr>
        <w:t xml:space="preserve">Key Takeaway: </w:t>
      </w:r>
      <w:r>
        <w:rPr>
          <w:rFonts w:ascii="Calibri" w:hAnsi="Calibri"/>
          <w:color w:val="525866"/>
          <w:sz w:val="22"/>
        </w:rPr>
        <w:t xml:space="preserve">Peer commentary from the last 60 days paints a </w:t>
      </w:r>
      <w:r>
        <w:rPr>
          <w:rFonts w:ascii="Calibri" w:hAnsi="Calibri"/>
          <w:b/>
          <w:color w:val="525866"/>
          <w:sz w:val="22"/>
        </w:rPr>
        <w:t>constructive but nuanced</w:t>
      </w:r>
      <w:r>
        <w:rPr>
          <w:rFonts w:ascii="Calibri" w:hAnsi="Calibri"/>
          <w:color w:val="525866"/>
          <w:sz w:val="22"/>
        </w:rPr>
        <w:t xml:space="preserve"> backdrop for WAB's Q2 print: rail freight traffic is recovering modestly, new railcar demand remains depressed (a headwind for WAB's components business), lease utilization is near-record highs (supportive of aftermarket), and tariff uncertainty continues to delay customer CapEx decisions — all consistent with WAB's own Q1 guidance. The most relevant read-throughs are from Greenbrier (GBX, reported July 1) and Trinity Industries (TRN, Wells Fargo conference June 10).</w:t>
      </w:r>
    </w:p>
    <w:p>
      <w:pPr>
        <w:pStyle w:val="Heading3"/>
      </w:pPr>
      <w:r>
        <w:rPr>
          <w:rFonts w:ascii="Calibri" w:hAnsi="Calibri"/>
          <w:b/>
          <w:color w:val="3B4259"/>
          <w:sz w:val="24"/>
        </w:rPr>
        <w:t>Greenbrier Companies (GBX) — Q3 FY2026 Earnings Call, July 1, 2026</w:t>
      </w:r>
    </w:p>
    <w:p>
      <w:r>
        <w:rPr>
          <w:rFonts w:ascii="Calibri" w:hAnsi="Calibri"/>
          <w:b/>
          <w:color w:val="525866"/>
          <w:sz w:val="22"/>
        </w:rPr>
        <w:t xml:space="preserve">Relevance: </w:t>
      </w:r>
      <w:r>
        <w:rPr>
          <w:rFonts w:ascii="Calibri" w:hAnsi="Calibri"/>
          <w:color w:val="525866"/>
          <w:sz w:val="22"/>
        </w:rPr>
        <w:t>GBX is a direct read-through for WAB's North American railcar components business and broader freight rail demand environment. GBX reported its fiscal Q3 2026 results on July 1, covering the calendar Q2 2026 period — directly relevant to WAB's upcoming Q2 print.</w:t>
      </w:r>
    </w:p>
    <w:p>
      <w:pPr>
        <w:pStyle w:val="ListBullet"/>
        <w:ind w:left="360" w:hanging="360"/>
      </w:pPr>
      <w:r>
        <w:rPr>
          <w:rFonts w:ascii="Calibri" w:hAnsi="Calibri"/>
          <w:b/>
          <w:color w:val="525866"/>
          <w:sz w:val="22"/>
        </w:rPr>
        <w:t xml:space="preserve">New railcar demand remains depressed: </w:t>
      </w:r>
      <w:r>
        <w:rPr>
          <w:rFonts w:ascii="Calibri" w:hAnsi="Calibri"/>
          <w:color w:val="525866"/>
          <w:sz w:val="22"/>
        </w:rPr>
        <w:t xml:space="preserve">GBX confirmed industry forecasts of </w:t>
      </w:r>
      <w:r>
        <w:rPr>
          <w:rFonts w:ascii="Calibri" w:hAnsi="Calibri"/>
          <w:b/>
          <w:color w:val="525866"/>
          <w:sz w:val="22"/>
        </w:rPr>
        <w:t>less than 25,000 new railcars for calendar 2026</w:t>
      </w:r>
      <w:r>
        <w:rPr>
          <w:rFonts w:ascii="Calibri" w:hAnsi="Calibri"/>
          <w:color w:val="525866"/>
          <w:sz w:val="22"/>
        </w:rPr>
        <w:t xml:space="preserve"> — the lowest level since 2010. This is a headwind for WAB's components segment, which was already down 6.3% YoY in Q1 2026 due to the industry's decline in North American railcar build. GBX's CEO noted "maintenance and replacement needs continue and provide a foundation for future orders" — supportive of WAB's aftermarket/services business.</w:t>
      </w:r>
    </w:p>
    <w:p>
      <w:pPr>
        <w:pStyle w:val="ListBullet"/>
        <w:ind w:left="360" w:hanging="360"/>
      </w:pPr>
      <w:r>
        <w:rPr>
          <w:rFonts w:ascii="Calibri" w:hAnsi="Calibri"/>
          <w:b/>
          <w:color w:val="525866"/>
          <w:sz w:val="22"/>
        </w:rPr>
        <w:t xml:space="preserve">Pent-up demand building, but timing uncertain: </w:t>
      </w:r>
      <w:r>
        <w:rPr>
          <w:rFonts w:ascii="Calibri" w:hAnsi="Calibri"/>
          <w:color w:val="525866"/>
          <w:sz w:val="22"/>
        </w:rPr>
        <w:t>GBX's EVP Brian Comstock stated "the pent-up demand is really beginning to rise" with signs of recovery in AI data center infrastructure, steel, and intermodal. He noted "it's a matter of when, not if" — consistent with WAB's view that fleet renewal is non-discretionary. GBX's CEO added "we just need the broader economy to settle down for a little bit so that people can make those long-term investment decisions."</w:t>
      </w:r>
    </w:p>
    <w:p>
      <w:pPr>
        <w:pStyle w:val="ListBullet"/>
        <w:ind w:left="360" w:hanging="360"/>
      </w:pPr>
      <w:r>
        <w:rPr>
          <w:rFonts w:ascii="Calibri" w:hAnsi="Calibri"/>
          <w:b/>
          <w:color w:val="525866"/>
          <w:sz w:val="22"/>
        </w:rPr>
        <w:t xml:space="preserve">Lease utilization near-record at 99%: </w:t>
      </w:r>
      <w:r>
        <w:rPr>
          <w:rFonts w:ascii="Calibri" w:hAnsi="Calibri"/>
          <w:color w:val="525866"/>
          <w:sz w:val="22"/>
        </w:rPr>
        <w:t>GBX's owned lease fleet utilization remained at 99% — a positive read-through for WAB's aftermarket/services business, as high utilization drives maintenance demand and supports the case for fleet renewal.</w:t>
      </w:r>
    </w:p>
    <w:p>
      <w:pPr>
        <w:pStyle w:val="ListBullet"/>
        <w:ind w:left="360" w:hanging="360"/>
      </w:pPr>
      <w:r>
        <w:rPr>
          <w:rFonts w:ascii="Calibri" w:hAnsi="Calibri"/>
          <w:b/>
          <w:color w:val="525866"/>
          <w:sz w:val="22"/>
        </w:rPr>
        <w:t xml:space="preserve">Tariff pass-through confirmed: </w:t>
      </w:r>
      <w:r>
        <w:rPr>
          <w:rFonts w:ascii="Calibri" w:hAnsi="Calibri"/>
          <w:color w:val="525866"/>
          <w:sz w:val="22"/>
        </w:rPr>
        <w:t>GBX's CEO confirmed "any adjustments associated with tariffs would be passed through to our customers" and that all contracts have provisions for tariff pass-through — consistent with WAB's own tariff mitigation strategy of customer cost-sharing.</w:t>
      </w:r>
    </w:p>
    <w:p>
      <w:pPr>
        <w:pStyle w:val="ListBullet"/>
        <w:ind w:left="360" w:hanging="360"/>
      </w:pPr>
      <w:r>
        <w:rPr>
          <w:rFonts w:ascii="Calibri" w:hAnsi="Calibri"/>
          <w:b/>
          <w:color w:val="525866"/>
          <w:sz w:val="22"/>
        </w:rPr>
        <w:t xml:space="preserve">Section 232 tank car tariff uncertainty: </w:t>
      </w:r>
      <w:r>
        <w:rPr>
          <w:rFonts w:ascii="Calibri" w:hAnsi="Calibri"/>
          <w:color w:val="525866"/>
          <w:sz w:val="22"/>
        </w:rPr>
        <w:t>GBX flagged uncertainty around new Section 232 tariffs on tank cars from Mexico, with the company seeking CBP guidance. This is a watch item for WAB's components business, though WAB's direct exposure to this specific tariff is limited.</w:t>
      </w:r>
    </w:p>
    <w:p>
      <w:pPr>
        <w:pStyle w:val="ListBullet"/>
        <w:ind w:left="360" w:hanging="360"/>
      </w:pPr>
      <w:r>
        <w:rPr>
          <w:rFonts w:ascii="Calibri" w:hAnsi="Calibri"/>
          <w:b/>
          <w:color w:val="525866"/>
          <w:sz w:val="22"/>
        </w:rPr>
        <w:t xml:space="preserve">Intermodal resurgence: </w:t>
      </w:r>
      <w:r>
        <w:rPr>
          <w:rFonts w:ascii="Calibri" w:hAnsi="Calibri"/>
          <w:color w:val="525866"/>
          <w:sz w:val="22"/>
        </w:rPr>
        <w:t>GBX noted "a resurgence of intermodal on rail" and "degradation of velocity on rail" — both positive signals for WAB's locomotive and digital intelligence businesses, as lower network velocity increases demand for more power and efficiency solutions.</w:t>
      </w:r>
    </w:p>
    <w:p>
      <w:pPr>
        <w:pStyle w:val="Heading3"/>
      </w:pPr>
      <w:r>
        <w:rPr>
          <w:rFonts w:ascii="Calibri" w:hAnsi="Calibri"/>
          <w:b/>
          <w:color w:val="3B4259"/>
          <w:sz w:val="24"/>
        </w:rPr>
        <w:t>Trinity Industries (TRN) — Wells Fargo Industrials &amp; Materials Conference, June 10, 2026</w:t>
      </w:r>
    </w:p>
    <w:p>
      <w:r>
        <w:rPr>
          <w:rFonts w:ascii="Calibri" w:hAnsi="Calibri"/>
          <w:b/>
          <w:color w:val="525866"/>
          <w:sz w:val="22"/>
        </w:rPr>
        <w:t xml:space="preserve">Relevance: </w:t>
      </w:r>
      <w:r>
        <w:rPr>
          <w:rFonts w:ascii="Calibri" w:hAnsi="Calibri"/>
          <w:color w:val="525866"/>
          <w:sz w:val="22"/>
        </w:rPr>
        <w:t>TRN's CFO commentary at the Wells Fargo conference on June 10 provides a real-time read on the freight railcar market environment heading into WAB's Q2 reporting period.</w:t>
      </w:r>
    </w:p>
    <w:p>
      <w:pPr>
        <w:pStyle w:val="ListBullet"/>
        <w:ind w:left="360" w:hanging="360"/>
      </w:pPr>
      <w:r>
        <w:rPr>
          <w:rFonts w:ascii="Calibri" w:hAnsi="Calibri"/>
          <w:b/>
          <w:color w:val="525866"/>
          <w:sz w:val="22"/>
        </w:rPr>
        <w:t xml:space="preserve">Industry in a down cycle, but recovery expected: </w:t>
      </w:r>
      <w:r>
        <w:rPr>
          <w:rFonts w:ascii="Calibri" w:hAnsi="Calibri"/>
          <w:color w:val="525866"/>
          <w:sz w:val="22"/>
        </w:rPr>
        <w:t>TRN's CFO confirmed the industry is building "less than replacement level" at ~25,000 railcars in 2026 (down ~20% from 2025), with scrapping of 35–40,000 cars expected to keep the fleet tight. He expects recovery to "35–40,000 railcars within the near term" — a positive multi-year setup for WAB's components and services businesses.</w:t>
      </w:r>
    </w:p>
    <w:p>
      <w:pPr>
        <w:pStyle w:val="ListBullet"/>
        <w:ind w:left="360" w:hanging="360"/>
      </w:pPr>
      <w:r>
        <w:rPr>
          <w:rFonts w:ascii="Calibri" w:hAnsi="Calibri"/>
          <w:b/>
          <w:color w:val="525866"/>
          <w:sz w:val="22"/>
        </w:rPr>
        <w:t xml:space="preserve">Fleet utilization "held on" at 97%+: </w:t>
      </w:r>
      <w:r>
        <w:rPr>
          <w:rFonts w:ascii="Calibri" w:hAnsi="Calibri"/>
          <w:color w:val="525866"/>
          <w:sz w:val="22"/>
        </w:rPr>
        <w:t>TRN reported fleet utilization improved to "97 2 or 3" at end of Q1, with the company successfully re-assigning returned cars. High utilization supports WAB's aftermarket thesis.</w:t>
      </w:r>
    </w:p>
    <w:p>
      <w:pPr>
        <w:pStyle w:val="ListBullet"/>
        <w:ind w:left="360" w:hanging="360"/>
      </w:pPr>
      <w:r>
        <w:rPr>
          <w:rFonts w:ascii="Calibri" w:hAnsi="Calibri"/>
          <w:b/>
          <w:color w:val="525866"/>
          <w:sz w:val="22"/>
        </w:rPr>
        <w:t xml:space="preserve">Customer CapEx decisions delayed by tariff uncertainty: </w:t>
      </w:r>
      <w:r>
        <w:rPr>
          <w:rFonts w:ascii="Calibri" w:hAnsi="Calibri"/>
          <w:color w:val="525866"/>
          <w:sz w:val="22"/>
        </w:rPr>
        <w:t>TRN's CFO described customers as "driving in the fog" due to weekly tariff changes, causing them to "hold what they have and kind of freeze" on investment decisions. This is consistent with WAB's own commentary that tariff uncertainty is a headwind to near-term equipment orders, though WAB's record backlog provides insulation.</w:t>
      </w:r>
    </w:p>
    <w:p>
      <w:pPr>
        <w:pStyle w:val="ListBullet"/>
        <w:ind w:left="360" w:hanging="360"/>
      </w:pPr>
      <w:r>
        <w:rPr>
          <w:rFonts w:ascii="Calibri" w:hAnsi="Calibri"/>
          <w:b/>
          <w:color w:val="525866"/>
          <w:sz w:val="22"/>
        </w:rPr>
        <w:t xml:space="preserve">Lease rates expected to continue rising: </w:t>
      </w:r>
      <w:r>
        <w:rPr>
          <w:rFonts w:ascii="Calibri" w:hAnsi="Calibri"/>
          <w:color w:val="525866"/>
          <w:sz w:val="22"/>
        </w:rPr>
        <w:t>TRN's CFO noted lease rates have seen 1–2% annual inflation and expects "lease rates to continue going up from here in the aggregate" — a positive backdrop for WAB's aftermarket pricing power.</w:t>
      </w:r>
    </w:p>
    <w:p>
      <w:pPr>
        <w:pStyle w:val="ListBullet"/>
        <w:ind w:left="360" w:hanging="360"/>
      </w:pPr>
      <w:r>
        <w:rPr>
          <w:rFonts w:ascii="Calibri" w:hAnsi="Calibri"/>
          <w:b/>
          <w:color w:val="525866"/>
          <w:sz w:val="22"/>
        </w:rPr>
        <w:t xml:space="preserve">Modest pickup in rail traffic: </w:t>
      </w:r>
      <w:r>
        <w:rPr>
          <w:rFonts w:ascii="Calibri" w:hAnsi="Calibri"/>
          <w:color w:val="525866"/>
          <w:sz w:val="22"/>
        </w:rPr>
        <w:t>TRN noted "a modest pickup in rail traffic and healthy signs in U.S. industrial production" — consistent with WAB's Q1 report that North American carload traffic was up 2% in Q1 2026.</w:t>
      </w:r>
    </w:p>
    <w:p>
      <w:pPr>
        <w:pStyle w:val="Heading3"/>
      </w:pPr>
      <w:r>
        <w:rPr>
          <w:rFonts w:ascii="Calibri" w:hAnsi="Calibri"/>
          <w:b/>
          <w:color w:val="3B4259"/>
          <w:sz w:val="24"/>
        </w:rPr>
        <w:t>J.B. Hunt Transport (JBHT) — Q2 2026 Earnings, July 15, 2026</w:t>
      </w:r>
    </w:p>
    <w:p>
      <w:r>
        <w:rPr>
          <w:rFonts w:ascii="Calibri" w:hAnsi="Calibri"/>
          <w:b/>
          <w:color w:val="525866"/>
          <w:sz w:val="22"/>
        </w:rPr>
        <w:t xml:space="preserve">Relevance: </w:t>
      </w:r>
      <w:r>
        <w:rPr>
          <w:rFonts w:ascii="Calibri" w:hAnsi="Calibri"/>
          <w:color w:val="525866"/>
          <w:sz w:val="22"/>
        </w:rPr>
        <w:t>JBHT's Q2 2026 results (reported July 15) provide a read on intermodal demand trends that are relevant to WAB's locomotive and digital intelligence businesses.</w:t>
      </w:r>
    </w:p>
    <w:p>
      <w:pPr>
        <w:pStyle w:val="ListBullet"/>
        <w:ind w:left="360" w:hanging="360"/>
      </w:pPr>
      <w:r>
        <w:rPr>
          <w:rFonts w:ascii="Calibri" w:hAnsi="Calibri"/>
          <w:b/>
          <w:color w:val="525866"/>
          <w:sz w:val="22"/>
        </w:rPr>
        <w:t xml:space="preserve">Strong intermodal beat: </w:t>
      </w:r>
      <w:r>
        <w:rPr>
          <w:rFonts w:ascii="Calibri" w:hAnsi="Calibri"/>
          <w:color w:val="525866"/>
          <w:sz w:val="22"/>
        </w:rPr>
        <w:t>JBHT reported Q2 EPS of $1.91 vs. consensus $1.74 (+10% beat), with intermodal revenue of $1.75B and strong operating income. The company's intermodal business was driven by customers shifting to railroad transport as an alternative to trucking due to elevated fuel costs — a positive read-through for rail network utilization and WAB's locomotive demand.</w:t>
      </w:r>
    </w:p>
    <w:p>
      <w:pPr>
        <w:pStyle w:val="ListBullet"/>
        <w:ind w:left="360" w:hanging="360"/>
      </w:pPr>
      <w:r>
        <w:rPr>
          <w:rFonts w:ascii="Calibri" w:hAnsi="Calibri"/>
          <w:b/>
          <w:color w:val="525866"/>
          <w:sz w:val="22"/>
        </w:rPr>
        <w:t xml:space="preserve">Trucking spot rates rising: </w:t>
      </w:r>
      <w:r>
        <w:rPr>
          <w:rFonts w:ascii="Calibri" w:hAnsi="Calibri"/>
          <w:color w:val="525866"/>
          <w:sz w:val="22"/>
        </w:rPr>
        <w:t>JBHT's results confirmed significant increases in trucking spot rates driven by driver shortages and elevated fuel costs — improving the relative competitiveness of rail and intermodal, which is a positive long-term driver for WAB's freight rail equipment and services businesses.</w:t>
      </w:r>
    </w:p>
    <w:p>
      <w:pPr>
        <w:pStyle w:val="Heading3"/>
      </w:pPr>
      <w:r>
        <w:rPr>
          <w:rFonts w:ascii="Calibri" w:hAnsi="Calibri"/>
          <w:b/>
          <w:color w:val="3B4259"/>
          <w:sz w:val="24"/>
        </w:rPr>
        <w:t>3M (MMM) — Q2 2026 Earnings, July 21, 2026</w:t>
      </w:r>
    </w:p>
    <w:p>
      <w:r>
        <w:rPr>
          <w:rFonts w:ascii="Calibri" w:hAnsi="Calibri"/>
          <w:b/>
          <w:color w:val="525866"/>
          <w:sz w:val="22"/>
        </w:rPr>
        <w:t xml:space="preserve">Relevance: </w:t>
      </w:r>
      <w:r>
        <w:rPr>
          <w:rFonts w:ascii="Calibri" w:hAnsi="Calibri"/>
          <w:color w:val="525866"/>
          <w:sz w:val="22"/>
        </w:rPr>
        <w:t>3M's Q2 2026 results (reported today, July 21) provide a broad industrial read-through on tariff management, pricing power, and industrial demand — relevant to WAB's cost structure and pricing strategy.</w:t>
      </w:r>
    </w:p>
    <w:p>
      <w:pPr>
        <w:pStyle w:val="ListBullet"/>
        <w:ind w:left="360" w:hanging="360"/>
      </w:pPr>
      <w:r>
        <w:rPr>
          <w:rFonts w:ascii="Calibri" w:hAnsi="Calibri"/>
          <w:b/>
          <w:color w:val="525866"/>
          <w:sz w:val="22"/>
        </w:rPr>
        <w:t xml:space="preserve">Strong industrial beat with guidance raise: </w:t>
      </w:r>
      <w:r>
        <w:rPr>
          <w:rFonts w:ascii="Calibri" w:hAnsi="Calibri"/>
          <w:color w:val="525866"/>
          <w:sz w:val="22"/>
        </w:rPr>
        <w:t>MMM reported Q2 EPS of $2.40 vs. consensus $2.25 (+6.7% beat), driven by 5.4% organic sales growth (vs. Street estimate of 3.2%), with strength in Safety &amp; Industrial and Transportation &amp; Electronics. Operating margins outperformed at 24.9%. The company raised FY 2026 EPS guidance to $8.80–$8.95 from $8.50–$8.70 — a positive read-through that industrial companies with strong execution can beat tariff headwinds through pricing and cost discipline, consistent with WAB's own approach.</w:t>
      </w:r>
    </w:p>
    <w:p>
      <w:pPr>
        <w:pStyle w:val="ListBullet"/>
        <w:ind w:left="360" w:hanging="360"/>
      </w:pPr>
      <w:r>
        <w:rPr>
          <w:rFonts w:ascii="Calibri" w:hAnsi="Calibri"/>
          <w:b/>
          <w:color w:val="525866"/>
          <w:sz w:val="22"/>
        </w:rPr>
        <w:t xml:space="preserve">Tariff mitigation through pricing: </w:t>
      </w:r>
      <w:r>
        <w:rPr>
          <w:rFonts w:ascii="Calibri" w:hAnsi="Calibri"/>
          <w:color w:val="525866"/>
          <w:sz w:val="22"/>
        </w:rPr>
        <w:t>MMM's beat was driven in part by cost-control measures and price hikes — validating WAB's four-pronged tariff mitigation strategy (USMCA exemptions, supply chain shifts, customer cost-sharing, pricing actions).</w:t>
      </w:r>
    </w:p>
    <w:p>
      <w:pPr>
        <w:pStyle w:val="Heading3"/>
      </w:pPr>
      <w:r>
        <w:rPr>
          <w:rFonts w:ascii="Calibri" w:hAnsi="Calibri"/>
          <w:b/>
          <w:color w:val="3B4259"/>
          <w:sz w:val="24"/>
        </w:rPr>
        <w:t>GE Aerospace (GE) — Q2 2026 Earnings, July 16, 2026</w:t>
      </w:r>
    </w:p>
    <w:p>
      <w:r>
        <w:rPr>
          <w:rFonts w:ascii="Calibri" w:hAnsi="Calibri"/>
          <w:b/>
          <w:color w:val="525866"/>
          <w:sz w:val="22"/>
        </w:rPr>
        <w:t xml:space="preserve">Relevance: </w:t>
      </w:r>
      <w:r>
        <w:rPr>
          <w:rFonts w:ascii="Calibri" w:hAnsi="Calibri"/>
          <w:color w:val="525866"/>
          <w:sz w:val="22"/>
        </w:rPr>
        <w:t>GE Aerospace's Q2 2026 results provide a read on industrial technology companies with strong backlogs and aftermarket businesses — a structural analog to WAB's freight rail platform.</w:t>
      </w:r>
    </w:p>
    <w:p>
      <w:pPr>
        <w:pStyle w:val="ListBullet"/>
        <w:ind w:left="360" w:hanging="360"/>
      </w:pPr>
      <w:r>
        <w:rPr>
          <w:rFonts w:ascii="Calibri" w:hAnsi="Calibri"/>
          <w:b/>
          <w:color w:val="525866"/>
          <w:sz w:val="22"/>
        </w:rPr>
        <w:t xml:space="preserve">Record backlog and services strength: </w:t>
      </w:r>
      <w:r>
        <w:rPr>
          <w:rFonts w:ascii="Calibri" w:hAnsi="Calibri"/>
          <w:color w:val="525866"/>
          <w:sz w:val="22"/>
        </w:rPr>
        <w:t>GE reported Q2 EPS of $2.02 vs. consensus $1.86 (+8.6% beat), with revenue up 24% on an adjusted basis to $12.6B. Bookings jumped 17% to $16.5B and free cash flow reached ~$3B (+43% YoY). GE raised FY 2026 EPS guidance to $7.65–$7.85 from $7.10–$7.40. The strong services and aftermarket performance is a positive read-through for WAB's own aftermarket thesis — companies with large installed bases and sticky aftermarket relationships can sustain strong earnings growth even in uncertain macro environments.</w:t>
      </w:r>
    </w:p>
    <w:p>
      <w:pPr>
        <w:pStyle w:val="ListBullet"/>
        <w:ind w:left="360" w:hanging="360"/>
      </w:pPr>
      <w:r>
        <w:rPr>
          <w:rFonts w:ascii="Calibri" w:hAnsi="Calibri"/>
          <w:b/>
          <w:color w:val="525866"/>
          <w:sz w:val="22"/>
        </w:rPr>
        <w:t xml:space="preserve">"Unprecedented demand environment": </w:t>
      </w:r>
      <w:r>
        <w:rPr>
          <w:rFonts w:ascii="Calibri" w:hAnsi="Calibri"/>
          <w:color w:val="525866"/>
          <w:sz w:val="22"/>
        </w:rPr>
        <w:t>Honeywell Aerospace CEO Jim Currier (at the Farnborough Air Show, July 20) described an "unprecedented demand environment" for both commercial and defense businesses — a broader industrial technology read-through that supports WAB's international growth narrative.</w:t>
      </w:r>
    </w:p>
    <w:p>
      <w:r>
        <w:rPr>
          <w:rFonts w:ascii="Calibri" w:hAnsi="Calibri"/>
          <w:i/>
          <w:color w:val="525866"/>
          <w:sz w:val="22"/>
        </w:rPr>
        <w:t>Sources: GBX Q3 FY2026 Earnings Call Transcript (July 1, 2026); TRN Wells Fargo Industrials &amp; Materials Conference Transcript (June 10, 2026); JBHT Q2 2026 Earnings Release (July 15, 2026); MMM Q2 2026 Earnings Release (July 21, 2026); GE Q2 2026 Earnings Release (July 16, 2026).</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record $30.8B multiyear backlog</w:t>
      </w:r>
      <w:r>
        <w:rPr>
          <w:rFonts w:ascii="Calibri" w:hAnsi="Calibri"/>
          <w:color w:val="525866"/>
          <w:sz w:val="22"/>
        </w:rPr>
        <w:t xml:space="preserve"> and the confirmation that recent acquisitions (Inspection Technologies, Frauscher, Dellner) are tracking ahead of plan — providing strong forward visibility and de-risking the FY 2026 EPS guidance raise.</w:t>
      </w:r>
    </w:p>
    <w:p>
      <w:pPr>
        <w:pStyle w:val="ListBullet"/>
        <w:ind w:left="360" w:hanging="360"/>
      </w:pPr>
      <w:r>
        <w:rPr>
          <w:rFonts w:ascii="Calibri" w:hAnsi="Calibri"/>
          <w:b/>
          <w:color w:val="525866"/>
          <w:sz w:val="22"/>
        </w:rPr>
        <w:t xml:space="preserve">April 22, 2026 — Q1 2026 Earnings Beat &amp; FY Guidance Raise: </w:t>
      </w:r>
      <w:r>
        <w:rPr>
          <w:rFonts w:ascii="Calibri" w:hAnsi="Calibri"/>
          <w:color w:val="525866"/>
          <w:sz w:val="22"/>
        </w:rPr>
        <w:t xml:space="preserve">WAB reported Q1 2026 adjusted EPS of $2.71 (vs. consensus ~$2.52, +7.5% beat) and raised FY 2026 adjusted EPS guidance to $10.25–$10.65 (midpoint ~17% growth). Revenue of $2.95B was roughly in line. Multiyear backlog hit a record $30.8B (+38% YoY). Acquisitions (Inspection Technologies, Frauscher, Dellner) described as "delivering ahead of our acquisition plan." Stock opened at ~$268 vs. prior close of ~$261.52. </w:t>
      </w:r>
      <w:r>
        <w:rPr>
          <w:rFonts w:ascii="Calibri" w:hAnsi="Calibri"/>
          <w:i/>
          <w:color w:val="525866"/>
          <w:sz w:val="22"/>
        </w:rPr>
        <w:t>Implication: Sets a high bar for Q2 but also provides strong forward visibility.</w:t>
      </w:r>
    </w:p>
    <w:p>
      <w:pPr>
        <w:pStyle w:val="ListBullet"/>
        <w:ind w:left="360" w:hanging="360"/>
      </w:pPr>
      <w:r>
        <w:rPr>
          <w:rFonts w:ascii="Calibri" w:hAnsi="Calibri"/>
          <w:b/>
          <w:color w:val="525866"/>
          <w:sz w:val="22"/>
        </w:rPr>
        <w:t xml:space="preserve">April 22, 2026 — Multibillion-Dollar Mining Order Secured: </w:t>
      </w:r>
      <w:r>
        <w:rPr>
          <w:rFonts w:ascii="Calibri" w:hAnsi="Calibri"/>
          <w:color w:val="525866"/>
          <w:sz w:val="22"/>
        </w:rPr>
        <w:t xml:space="preserve">WAB secured a "multibillion-dollar multiyear mining order for drive systems and aftermarket parts" in Q1 2026. </w:t>
      </w:r>
      <w:r>
        <w:rPr>
          <w:rFonts w:ascii="Calibri" w:hAnsi="Calibri"/>
          <w:i/>
          <w:color w:val="525866"/>
          <w:sz w:val="22"/>
        </w:rPr>
        <w:t>Implication: Diversifies revenue beyond rail and adds high-margin aftermarket content.</w:t>
      </w:r>
    </w:p>
    <w:p>
      <w:pPr>
        <w:pStyle w:val="ListBullet"/>
        <w:ind w:left="360" w:hanging="360"/>
      </w:pPr>
      <w:r>
        <w:rPr>
          <w:rFonts w:ascii="Calibri" w:hAnsi="Calibri"/>
          <w:b/>
          <w:color w:val="525866"/>
          <w:sz w:val="22"/>
        </w:rPr>
        <w:t xml:space="preserve">April 22, 2026 — $210M MBTA Modernization &amp; $54M NYC Transit Order: </w:t>
      </w:r>
      <w:r>
        <w:rPr>
          <w:rFonts w:ascii="Calibri" w:hAnsi="Calibri"/>
          <w:color w:val="525866"/>
          <w:sz w:val="22"/>
        </w:rPr>
        <w:t xml:space="preserve">WAB signed a $210M multiyear modernization contract with MBTA and a $54M brake and couplers order with Kawasaki for New York City Transit. </w:t>
      </w:r>
      <w:r>
        <w:rPr>
          <w:rFonts w:ascii="Calibri" w:hAnsi="Calibri"/>
          <w:i/>
          <w:color w:val="525866"/>
          <w:sz w:val="22"/>
        </w:rPr>
        <w:t>Implication: Demonstrates continued Transit segment momentum and validates the Dellner acquisition's strategic fit.</w:t>
      </w:r>
    </w:p>
    <w:p>
      <w:pPr>
        <w:pStyle w:val="ListBullet"/>
        <w:ind w:left="360" w:hanging="360"/>
      </w:pPr>
      <w:r>
        <w:rPr>
          <w:rFonts w:ascii="Calibri" w:hAnsi="Calibri"/>
          <w:b/>
          <w:color w:val="525866"/>
          <w:sz w:val="22"/>
        </w:rPr>
        <w:t xml:space="preserve">April 22, 2026 — EVO Modernization Program Progress: </w:t>
      </w:r>
      <w:r>
        <w:rPr>
          <w:rFonts w:ascii="Calibri" w:hAnsi="Calibri"/>
          <w:color w:val="525866"/>
          <w:sz w:val="22"/>
        </w:rPr>
        <w:t xml:space="preserve">WAB is executing the first EVO modernization build to support commercial rollout of the new product, and is on track to receive Zero-to-Zero automation approval in 2026. </w:t>
      </w:r>
      <w:r>
        <w:rPr>
          <w:rFonts w:ascii="Calibri" w:hAnsi="Calibri"/>
          <w:i/>
          <w:color w:val="525866"/>
          <w:sz w:val="22"/>
        </w:rPr>
        <w:t>Implication: New product launches could accelerate modernization revenue in H2 2026 and 2027.</w:t>
      </w:r>
    </w:p>
    <w:p>
      <w:pPr>
        <w:pStyle w:val="ListBullet"/>
        <w:ind w:left="360" w:hanging="360"/>
      </w:pPr>
      <w:r>
        <w:rPr>
          <w:rFonts w:ascii="Calibri" w:hAnsi="Calibri"/>
          <w:b/>
          <w:color w:val="525866"/>
          <w:sz w:val="22"/>
        </w:rPr>
        <w:t xml:space="preserve">May 15, 2026 — Annual Meeting: All Management Proposals Approved: </w:t>
      </w:r>
      <w:r>
        <w:rPr>
          <w:rFonts w:ascii="Calibri" w:hAnsi="Calibri"/>
          <w:color w:val="525866"/>
          <w:sz w:val="22"/>
        </w:rPr>
        <w:t xml:space="preserve">Shareholders approved all management proposals at WAB's 2026 Annual Meeting. </w:t>
      </w:r>
      <w:r>
        <w:rPr>
          <w:rFonts w:ascii="Calibri" w:hAnsi="Calibri"/>
          <w:i/>
          <w:color w:val="525866"/>
          <w:sz w:val="22"/>
        </w:rPr>
        <w:t>Implication: No governance overhang heading into Q2 earnings.</w:t>
      </w:r>
    </w:p>
    <w:p>
      <w:pPr>
        <w:pStyle w:val="ListBullet"/>
        <w:ind w:left="360" w:hanging="360"/>
      </w:pPr>
      <w:r>
        <w:rPr>
          <w:rFonts w:ascii="Calibri" w:hAnsi="Calibri"/>
          <w:b/>
          <w:color w:val="525866"/>
          <w:sz w:val="22"/>
        </w:rPr>
        <w:t xml:space="preserve">June 24, 2026 — Q2 2026 Earnings Date Announced: </w:t>
      </w:r>
      <w:r>
        <w:rPr>
          <w:rFonts w:ascii="Calibri" w:hAnsi="Calibri"/>
          <w:color w:val="525866"/>
          <w:sz w:val="22"/>
        </w:rPr>
        <w:t xml:space="preserve">WAB confirmed Q2 2026 results will be reported before market open on July 22, 2026, with a conference call at 8:30 a.m. ET. </w:t>
      </w:r>
      <w:r>
        <w:rPr>
          <w:rFonts w:ascii="Calibri" w:hAnsi="Calibri"/>
          <w:i/>
          <w:color w:val="525866"/>
          <w:sz w:val="22"/>
        </w:rPr>
        <w:t>Implication: No surprises on timing.</w:t>
      </w:r>
    </w:p>
    <w:p>
      <w:pPr>
        <w:pStyle w:val="ListBullet"/>
        <w:ind w:left="360" w:hanging="360"/>
      </w:pPr>
      <w:r>
        <w:rPr>
          <w:rFonts w:ascii="Calibri" w:hAnsi="Calibri"/>
          <w:b/>
          <w:color w:val="525866"/>
          <w:sz w:val="22"/>
        </w:rPr>
        <w:t xml:space="preserve">July 2026 — Tariff Policy Escalation (Canada): </w:t>
      </w:r>
      <w:r>
        <w:rPr>
          <w:rFonts w:ascii="Calibri" w:hAnsi="Calibri"/>
          <w:color w:val="525866"/>
          <w:sz w:val="22"/>
        </w:rPr>
        <w:t xml:space="preserve">President Trump threatened 50% tariffs on most Canadian goods (July 20) and tariffs on Canada over wildfire smoke (July 17–19). WAB has USMCA-exempt supply chains and has described Section 232 changes as "financially neutral," but further tariff escalation with Canada could complicate supply chain management. </w:t>
      </w:r>
      <w:r>
        <w:rPr>
          <w:rFonts w:ascii="Calibri" w:hAnsi="Calibri"/>
          <w:i/>
          <w:color w:val="525866"/>
          <w:sz w:val="22"/>
        </w:rPr>
        <w:t>Implication: Watch for any commentary on Canada-specific tariff exposure in Q2 call.</w:t>
      </w:r>
    </w:p>
    <w:p>
      <w:pPr>
        <w:pStyle w:val="ListBullet"/>
        <w:ind w:left="360" w:hanging="360"/>
      </w:pPr>
      <w:r>
        <w:rPr>
          <w:rFonts w:ascii="Calibri" w:hAnsi="Calibri"/>
          <w:b/>
          <w:color w:val="525866"/>
          <w:sz w:val="22"/>
        </w:rPr>
        <w:t xml:space="preserve">July 2026 — Daimler Truck Cuts Guidance on North America Weakness: </w:t>
      </w:r>
      <w:r>
        <w:rPr>
          <w:rFonts w:ascii="Calibri" w:hAnsi="Calibri"/>
          <w:color w:val="525866"/>
          <w:sz w:val="22"/>
        </w:rPr>
        <w:t xml:space="preserve">Daimler Truck cut its guidance on July 8 due to "continuous weakness in North America," with the Class 8 market now forecast at 250–280K units (down from 260–290K). </w:t>
      </w:r>
      <w:r>
        <w:rPr>
          <w:rFonts w:ascii="Calibri" w:hAnsi="Calibri"/>
          <w:i/>
          <w:color w:val="525866"/>
          <w:sz w:val="22"/>
        </w:rPr>
        <w:t>Implication: Broader North American industrial equipment demand softness is a watch item, though WAB's freight rail exposure is more insulated than trucking.</w:t>
      </w:r>
    </w:p>
    <w:p>
      <w:pPr>
        <w:pStyle w:val="ListBullet"/>
        <w:ind w:left="360" w:hanging="360"/>
      </w:pPr>
      <w:r>
        <w:rPr>
          <w:rFonts w:ascii="Calibri" w:hAnsi="Calibri"/>
          <w:b/>
          <w:color w:val="525866"/>
          <w:sz w:val="22"/>
        </w:rPr>
        <w:t xml:space="preserve">July 2026 — Intermodal Recovery Signals (JBHT, GBX): </w:t>
      </w:r>
      <w:r>
        <w:rPr>
          <w:rFonts w:ascii="Calibri" w:hAnsi="Calibri"/>
          <w:color w:val="525866"/>
          <w:sz w:val="22"/>
        </w:rPr>
        <w:t xml:space="preserve">JBHT's strong Q2 intermodal beat and GBX's commentary on "resurgence of intermodal on rail" and rising trucking spot rates are positive read-throughs for rail network utilization and WAB's locomotive/digital demand. </w:t>
      </w:r>
      <w:r>
        <w:rPr>
          <w:rFonts w:ascii="Calibri" w:hAnsi="Calibri"/>
          <w:i/>
          <w:color w:val="525866"/>
          <w:sz w:val="22"/>
        </w:rPr>
        <w:t>Implication: Supportive of WAB's equipment and digital intelligence businesses.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All insider activity since Q1 earnings consists of </w:t>
      </w:r>
      <w:r>
        <w:rPr>
          <w:rFonts w:ascii="Calibri" w:hAnsi="Calibri"/>
          <w:b/>
          <w:color w:val="525866"/>
          <w:sz w:val="22"/>
        </w:rPr>
        <w:t>routine 10b5-1 planned sales by CEO Rafael Santana</w:t>
      </w:r>
      <w:r>
        <w:rPr>
          <w:rFonts w:ascii="Calibri" w:hAnsi="Calibri"/>
          <w:color w:val="525866"/>
          <w:sz w:val="22"/>
        </w:rPr>
        <w:t xml:space="preserve"> at regular monthly intervals — no discretionary selling or buying. The one notable exception is a discretionary sale by General Counsel David DeNinno in May, which is worth flagging but is not a significant red flag given the small size relative to holdings.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Approx.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Santana, Rafael</w:t>
            </w:r>
          </w:p>
        </w:tc>
        <w:tc>
          <w:tcPr>
            <w:tcW w:type="dxa" w:w="1234"/>
          </w:tcPr>
          <w:p>
            <w:r>
              <w:rPr>
                <w:rFonts w:ascii="Calibri" w:hAnsi="Calibri"/>
                <w:sz w:val="22"/>
              </w:rPr>
              <w:t>President &amp; CEO, Director</w:t>
            </w:r>
          </w:p>
        </w:tc>
        <w:tc>
          <w:tcPr>
            <w:tcW w:type="dxa" w:w="1234"/>
          </w:tcPr>
          <w:p>
            <w:r>
              <w:rPr>
                <w:rFonts w:ascii="Calibri" w:hAnsi="Calibri"/>
                <w:sz w:val="22"/>
              </w:rPr>
              <w:t>10b5-1 Planned Sale</w:t>
            </w:r>
          </w:p>
        </w:tc>
        <w:tc>
          <w:tcPr>
            <w:tcW w:type="dxa" w:w="1234"/>
          </w:tcPr>
          <w:p>
            <w:r>
              <w:rPr>
                <w:rFonts w:ascii="Calibri" w:hAnsi="Calibri"/>
                <w:sz w:val="22"/>
              </w:rPr>
              <w:t>1,163</w:t>
            </w:r>
          </w:p>
        </w:tc>
        <w:tc>
          <w:tcPr>
            <w:tcW w:type="dxa" w:w="1234"/>
          </w:tcPr>
          <w:p>
            <w:r>
              <w:rPr>
                <w:rFonts w:ascii="Calibri" w:hAnsi="Calibri"/>
                <w:sz w:val="22"/>
              </w:rPr>
              <w:t>~$296K</w:t>
            </w:r>
          </w:p>
        </w:tc>
        <w:tc>
          <w:tcPr>
            <w:tcW w:type="dxa" w:w="1234"/>
          </w:tcPr>
          <w:p>
            <w:r>
              <w:rPr>
                <w:rFonts w:ascii="Calibri" w:hAnsi="Calibri"/>
                <w:sz w:val="22"/>
              </w:rPr>
              <w:t>July 7, 2026</w:t>
            </w:r>
          </w:p>
        </w:tc>
        <w:tc>
          <w:tcPr>
            <w:tcW w:type="dxa" w:w="1234"/>
          </w:tcPr>
          <w:p>
            <w:r>
              <w:rPr>
                <w:rFonts w:ascii="Calibri" w:hAnsi="Calibri"/>
                <w:sz w:val="22"/>
              </w:rPr>
              <w:t>Routine pre-planned sale; part of regular monthly 10b5-1 program. Retains ~121,751 shares.</w:t>
            </w:r>
          </w:p>
        </w:tc>
      </w:tr>
      <w:tr>
        <w:tc>
          <w:tcPr>
            <w:tcW w:type="dxa" w:w="1234"/>
          </w:tcPr>
          <w:p>
            <w:r>
              <w:rPr>
                <w:rFonts w:ascii="Calibri" w:hAnsi="Calibri"/>
                <w:sz w:val="22"/>
              </w:rPr>
              <w:t>Santana, Rafael</w:t>
            </w:r>
          </w:p>
        </w:tc>
        <w:tc>
          <w:tcPr>
            <w:tcW w:type="dxa" w:w="1234"/>
          </w:tcPr>
          <w:p>
            <w:r>
              <w:rPr>
                <w:rFonts w:ascii="Calibri" w:hAnsi="Calibri"/>
                <w:sz w:val="22"/>
              </w:rPr>
              <w:t>President &amp; CEO, Director</w:t>
            </w:r>
          </w:p>
        </w:tc>
        <w:tc>
          <w:tcPr>
            <w:tcW w:type="dxa" w:w="1234"/>
          </w:tcPr>
          <w:p>
            <w:r>
              <w:rPr>
                <w:rFonts w:ascii="Calibri" w:hAnsi="Calibri"/>
                <w:sz w:val="22"/>
              </w:rPr>
              <w:t>10b5-1 Planned Sale</w:t>
            </w:r>
          </w:p>
        </w:tc>
        <w:tc>
          <w:tcPr>
            <w:tcW w:type="dxa" w:w="1234"/>
          </w:tcPr>
          <w:p>
            <w:r>
              <w:rPr>
                <w:rFonts w:ascii="Calibri" w:hAnsi="Calibri"/>
                <w:sz w:val="22"/>
              </w:rPr>
              <w:t>1,163</w:t>
            </w:r>
          </w:p>
        </w:tc>
        <w:tc>
          <w:tcPr>
            <w:tcW w:type="dxa" w:w="1234"/>
          </w:tcPr>
          <w:p>
            <w:r>
              <w:rPr>
                <w:rFonts w:ascii="Calibri" w:hAnsi="Calibri"/>
                <w:sz w:val="22"/>
              </w:rPr>
              <w:t>~$296K</w:t>
            </w:r>
          </w:p>
        </w:tc>
        <w:tc>
          <w:tcPr>
            <w:tcW w:type="dxa" w:w="1234"/>
          </w:tcPr>
          <w:p>
            <w:r>
              <w:rPr>
                <w:rFonts w:ascii="Calibri" w:hAnsi="Calibri"/>
                <w:sz w:val="22"/>
              </w:rPr>
              <w:t>July 6, 2026</w:t>
            </w:r>
          </w:p>
        </w:tc>
        <w:tc>
          <w:tcPr>
            <w:tcW w:type="dxa" w:w="1234"/>
          </w:tcPr>
          <w:p>
            <w:r>
              <w:rPr>
                <w:rFonts w:ascii="Calibri" w:hAnsi="Calibri"/>
                <w:sz w:val="22"/>
              </w:rPr>
              <w:t>Routine pre-planned sale; part of regular monthly 10b5-1 program.</w:t>
            </w:r>
          </w:p>
        </w:tc>
      </w:tr>
      <w:tr>
        <w:tc>
          <w:tcPr>
            <w:tcW w:type="dxa" w:w="1234"/>
          </w:tcPr>
          <w:p>
            <w:r>
              <w:rPr>
                <w:rFonts w:ascii="Calibri" w:hAnsi="Calibri"/>
                <w:sz w:val="22"/>
              </w:rPr>
              <w:t>Santana, Rafael</w:t>
            </w:r>
          </w:p>
        </w:tc>
        <w:tc>
          <w:tcPr>
            <w:tcW w:type="dxa" w:w="1234"/>
          </w:tcPr>
          <w:p>
            <w:r>
              <w:rPr>
                <w:rFonts w:ascii="Calibri" w:hAnsi="Calibri"/>
                <w:sz w:val="22"/>
              </w:rPr>
              <w:t>President &amp; CEO, Director</w:t>
            </w:r>
          </w:p>
        </w:tc>
        <w:tc>
          <w:tcPr>
            <w:tcW w:type="dxa" w:w="1234"/>
          </w:tcPr>
          <w:p>
            <w:r>
              <w:rPr>
                <w:rFonts w:ascii="Calibri" w:hAnsi="Calibri"/>
                <w:sz w:val="22"/>
              </w:rPr>
              <w:t>10b5-1 Planned Sale</w:t>
            </w:r>
          </w:p>
        </w:tc>
        <w:tc>
          <w:tcPr>
            <w:tcW w:type="dxa" w:w="1234"/>
          </w:tcPr>
          <w:p>
            <w:r>
              <w:rPr>
                <w:rFonts w:ascii="Calibri" w:hAnsi="Calibri"/>
                <w:sz w:val="22"/>
              </w:rPr>
              <w:t>1,163</w:t>
            </w:r>
          </w:p>
        </w:tc>
        <w:tc>
          <w:tcPr>
            <w:tcW w:type="dxa" w:w="1234"/>
          </w:tcPr>
          <w:p>
            <w:r>
              <w:rPr>
                <w:rFonts w:ascii="Calibri" w:hAnsi="Calibri"/>
                <w:sz w:val="22"/>
              </w:rPr>
              <w:t>~$296K</w:t>
            </w:r>
          </w:p>
        </w:tc>
        <w:tc>
          <w:tcPr>
            <w:tcW w:type="dxa" w:w="1234"/>
          </w:tcPr>
          <w:p>
            <w:r>
              <w:rPr>
                <w:rFonts w:ascii="Calibri" w:hAnsi="Calibri"/>
                <w:sz w:val="22"/>
              </w:rPr>
              <w:t>June 8, 2026</w:t>
            </w:r>
          </w:p>
        </w:tc>
        <w:tc>
          <w:tcPr>
            <w:tcW w:type="dxa" w:w="1234"/>
          </w:tcPr>
          <w:p>
            <w:r>
              <w:rPr>
                <w:rFonts w:ascii="Calibri" w:hAnsi="Calibri"/>
                <w:sz w:val="22"/>
              </w:rPr>
              <w:t>Routine pre-planned sale; part of regular monthly 10b5-1 program.</w:t>
            </w:r>
          </w:p>
        </w:tc>
      </w:tr>
      <w:tr>
        <w:tc>
          <w:tcPr>
            <w:tcW w:type="dxa" w:w="1234"/>
          </w:tcPr>
          <w:p>
            <w:r>
              <w:rPr>
                <w:rFonts w:ascii="Calibri" w:hAnsi="Calibri"/>
                <w:sz w:val="22"/>
              </w:rPr>
              <w:t>Santana, Rafael</w:t>
            </w:r>
          </w:p>
        </w:tc>
        <w:tc>
          <w:tcPr>
            <w:tcW w:type="dxa" w:w="1234"/>
          </w:tcPr>
          <w:p>
            <w:r>
              <w:rPr>
                <w:rFonts w:ascii="Calibri" w:hAnsi="Calibri"/>
                <w:sz w:val="22"/>
              </w:rPr>
              <w:t>President &amp; CEO, Director</w:t>
            </w:r>
          </w:p>
        </w:tc>
        <w:tc>
          <w:tcPr>
            <w:tcW w:type="dxa" w:w="1234"/>
          </w:tcPr>
          <w:p>
            <w:r>
              <w:rPr>
                <w:rFonts w:ascii="Calibri" w:hAnsi="Calibri"/>
                <w:sz w:val="22"/>
              </w:rPr>
              <w:t>10b5-1 Planned Sale</w:t>
            </w:r>
          </w:p>
        </w:tc>
        <w:tc>
          <w:tcPr>
            <w:tcW w:type="dxa" w:w="1234"/>
          </w:tcPr>
          <w:p>
            <w:r>
              <w:rPr>
                <w:rFonts w:ascii="Calibri" w:hAnsi="Calibri"/>
                <w:sz w:val="22"/>
              </w:rPr>
              <w:t>1,163</w:t>
            </w:r>
          </w:p>
        </w:tc>
        <w:tc>
          <w:tcPr>
            <w:tcW w:type="dxa" w:w="1234"/>
          </w:tcPr>
          <w:p>
            <w:r>
              <w:rPr>
                <w:rFonts w:ascii="Calibri" w:hAnsi="Calibri"/>
                <w:sz w:val="22"/>
              </w:rPr>
              <w:t>~$296K</w:t>
            </w:r>
          </w:p>
        </w:tc>
        <w:tc>
          <w:tcPr>
            <w:tcW w:type="dxa" w:w="1234"/>
          </w:tcPr>
          <w:p>
            <w:r>
              <w:rPr>
                <w:rFonts w:ascii="Calibri" w:hAnsi="Calibri"/>
                <w:sz w:val="22"/>
              </w:rPr>
              <w:t>June 5, 2026</w:t>
            </w:r>
          </w:p>
        </w:tc>
        <w:tc>
          <w:tcPr>
            <w:tcW w:type="dxa" w:w="1234"/>
          </w:tcPr>
          <w:p>
            <w:r>
              <w:rPr>
                <w:rFonts w:ascii="Calibri" w:hAnsi="Calibri"/>
                <w:sz w:val="22"/>
              </w:rPr>
              <w:t>Routine pre-planned sale; part of regular monthly 10b5-1 program.</w:t>
            </w:r>
          </w:p>
        </w:tc>
      </w:tr>
      <w:tr>
        <w:tc>
          <w:tcPr>
            <w:tcW w:type="dxa" w:w="1234"/>
          </w:tcPr>
          <w:p>
            <w:r>
              <w:rPr>
                <w:rFonts w:ascii="Calibri" w:hAnsi="Calibri"/>
                <w:sz w:val="22"/>
              </w:rPr>
              <w:t>DeNinno, David L.</w:t>
            </w:r>
          </w:p>
        </w:tc>
        <w:tc>
          <w:tcPr>
            <w:tcW w:type="dxa" w:w="1234"/>
          </w:tcPr>
          <w:p>
            <w:r>
              <w:rPr>
                <w:rFonts w:ascii="Calibri" w:hAnsi="Calibri"/>
                <w:sz w:val="22"/>
              </w:rPr>
              <w:t>Exec VP, General Counsel &amp; Secretary</w:t>
            </w:r>
          </w:p>
        </w:tc>
        <w:tc>
          <w:tcPr>
            <w:tcW w:type="dxa" w:w="1234"/>
          </w:tcPr>
          <w:p>
            <w:r>
              <w:rPr>
                <w:rFonts w:ascii="Calibri" w:hAnsi="Calibri"/>
                <w:sz w:val="22"/>
              </w:rPr>
              <w:t>Open Market Sale</w:t>
            </w:r>
          </w:p>
        </w:tc>
        <w:tc>
          <w:tcPr>
            <w:tcW w:type="dxa" w:w="1234"/>
          </w:tcPr>
          <w:p>
            <w:r>
              <w:rPr>
                <w:rFonts w:ascii="Calibri" w:hAnsi="Calibri"/>
                <w:sz w:val="22"/>
              </w:rPr>
              <w:t>2,500</w:t>
            </w:r>
          </w:p>
        </w:tc>
        <w:tc>
          <w:tcPr>
            <w:tcW w:type="dxa" w:w="1234"/>
          </w:tcPr>
          <w:p>
            <w:r>
              <w:rPr>
                <w:rFonts w:ascii="Calibri" w:hAnsi="Calibri"/>
                <w:sz w:val="22"/>
              </w:rPr>
              <w:t>~$650K</w:t>
            </w:r>
          </w:p>
        </w:tc>
        <w:tc>
          <w:tcPr>
            <w:tcW w:type="dxa" w:w="1234"/>
          </w:tcPr>
          <w:p>
            <w:r>
              <w:rPr>
                <w:rFonts w:ascii="Calibri" w:hAnsi="Calibri"/>
                <w:sz w:val="22"/>
              </w:rPr>
              <w:t>May 5, 2026</w:t>
            </w:r>
          </w:p>
        </w:tc>
        <w:tc>
          <w:tcPr>
            <w:tcW w:type="dxa" w:w="1234"/>
          </w:tcPr>
          <w:p>
            <w:r>
              <w:rPr>
                <w:rFonts w:ascii="Calibri" w:hAnsi="Calibri"/>
                <w:sz w:val="22"/>
              </w:rPr>
              <w:t>Discretionary sale (not 10b5-1); sold ~4% of holdings. Retains ~58,128 shares. Modest size; not a significant red flag.</w:t>
            </w:r>
          </w:p>
        </w:tc>
      </w:tr>
      <w:tr>
        <w:tc>
          <w:tcPr>
            <w:tcW w:type="dxa" w:w="1234"/>
          </w:tcPr>
          <w:p>
            <w:r>
              <w:rPr>
                <w:rFonts w:ascii="Calibri" w:hAnsi="Calibri"/>
                <w:sz w:val="22"/>
              </w:rPr>
              <w:t>Santana, Rafael</w:t>
            </w:r>
          </w:p>
        </w:tc>
        <w:tc>
          <w:tcPr>
            <w:tcW w:type="dxa" w:w="1234"/>
          </w:tcPr>
          <w:p>
            <w:r>
              <w:rPr>
                <w:rFonts w:ascii="Calibri" w:hAnsi="Calibri"/>
                <w:sz w:val="22"/>
              </w:rPr>
              <w:t>President &amp; CEO, Director</w:t>
            </w:r>
          </w:p>
        </w:tc>
        <w:tc>
          <w:tcPr>
            <w:tcW w:type="dxa" w:w="1234"/>
          </w:tcPr>
          <w:p>
            <w:r>
              <w:rPr>
                <w:rFonts w:ascii="Calibri" w:hAnsi="Calibri"/>
                <w:sz w:val="22"/>
              </w:rPr>
              <w:t>10b5-1 Planned Sale</w:t>
            </w:r>
          </w:p>
        </w:tc>
        <w:tc>
          <w:tcPr>
            <w:tcW w:type="dxa" w:w="1234"/>
          </w:tcPr>
          <w:p>
            <w:r>
              <w:rPr>
                <w:rFonts w:ascii="Calibri" w:hAnsi="Calibri"/>
                <w:sz w:val="22"/>
              </w:rPr>
              <w:t>1,163</w:t>
            </w:r>
          </w:p>
        </w:tc>
        <w:tc>
          <w:tcPr>
            <w:tcW w:type="dxa" w:w="1234"/>
          </w:tcPr>
          <w:p>
            <w:r>
              <w:rPr>
                <w:rFonts w:ascii="Calibri" w:hAnsi="Calibri"/>
                <w:sz w:val="22"/>
              </w:rPr>
              <w:t>~$296K</w:t>
            </w:r>
          </w:p>
        </w:tc>
        <w:tc>
          <w:tcPr>
            <w:tcW w:type="dxa" w:w="1234"/>
          </w:tcPr>
          <w:p>
            <w:r>
              <w:rPr>
                <w:rFonts w:ascii="Calibri" w:hAnsi="Calibri"/>
                <w:sz w:val="22"/>
              </w:rPr>
              <w:t>May 5, 2026</w:t>
            </w:r>
          </w:p>
        </w:tc>
        <w:tc>
          <w:tcPr>
            <w:tcW w:type="dxa" w:w="1234"/>
          </w:tcPr>
          <w:p>
            <w:r>
              <w:rPr>
                <w:rFonts w:ascii="Calibri" w:hAnsi="Calibri"/>
                <w:sz w:val="22"/>
              </w:rPr>
              <w:t>Routine pre-planned sale; part of regular monthly 10b5-1 program.</w:t>
            </w:r>
          </w:p>
        </w:tc>
      </w:tr>
      <w:tr>
        <w:tc>
          <w:tcPr>
            <w:tcW w:type="dxa" w:w="1234"/>
          </w:tcPr>
          <w:p>
            <w:r>
              <w:rPr>
                <w:rFonts w:ascii="Calibri" w:hAnsi="Calibri"/>
                <w:sz w:val="22"/>
              </w:rPr>
              <w:t>Santana, Rafael</w:t>
            </w:r>
          </w:p>
        </w:tc>
        <w:tc>
          <w:tcPr>
            <w:tcW w:type="dxa" w:w="1234"/>
          </w:tcPr>
          <w:p>
            <w:r>
              <w:rPr>
                <w:rFonts w:ascii="Calibri" w:hAnsi="Calibri"/>
                <w:sz w:val="22"/>
              </w:rPr>
              <w:t>President &amp; CEO, Director</w:t>
            </w:r>
          </w:p>
        </w:tc>
        <w:tc>
          <w:tcPr>
            <w:tcW w:type="dxa" w:w="1234"/>
          </w:tcPr>
          <w:p>
            <w:r>
              <w:rPr>
                <w:rFonts w:ascii="Calibri" w:hAnsi="Calibri"/>
                <w:sz w:val="22"/>
              </w:rPr>
              <w:t>10b5-1 Planned Sale</w:t>
            </w:r>
          </w:p>
        </w:tc>
        <w:tc>
          <w:tcPr>
            <w:tcW w:type="dxa" w:w="1234"/>
          </w:tcPr>
          <w:p>
            <w:r>
              <w:rPr>
                <w:rFonts w:ascii="Calibri" w:hAnsi="Calibri"/>
                <w:sz w:val="22"/>
              </w:rPr>
              <w:t>1,163</w:t>
            </w:r>
          </w:p>
        </w:tc>
        <w:tc>
          <w:tcPr>
            <w:tcW w:type="dxa" w:w="1234"/>
          </w:tcPr>
          <w:p>
            <w:r>
              <w:rPr>
                <w:rFonts w:ascii="Calibri" w:hAnsi="Calibri"/>
                <w:sz w:val="22"/>
              </w:rPr>
              <w:t>~$296K</w:t>
            </w:r>
          </w:p>
        </w:tc>
        <w:tc>
          <w:tcPr>
            <w:tcW w:type="dxa" w:w="1234"/>
          </w:tcPr>
          <w:p>
            <w:r>
              <w:rPr>
                <w:rFonts w:ascii="Calibri" w:hAnsi="Calibri"/>
                <w:sz w:val="22"/>
              </w:rPr>
              <w:t>May 4, 2026</w:t>
            </w:r>
          </w:p>
        </w:tc>
        <w:tc>
          <w:tcPr>
            <w:tcW w:type="dxa" w:w="1234"/>
          </w:tcPr>
          <w:p>
            <w:r>
              <w:rPr>
                <w:rFonts w:ascii="Calibri" w:hAnsi="Calibri"/>
                <w:sz w:val="22"/>
              </w:rPr>
              <w:t>Routine pre-planned sale; part of regular monthly 10b5-1 program.</w:t>
            </w:r>
          </w:p>
        </w:tc>
      </w:tr>
    </w:tbl>
    <w:p>
      <w:r>
        <w:rPr>
          <w:rFonts w:ascii="Calibri" w:hAnsi="Calibri"/>
          <w:color w:val="525866"/>
          <w:sz w:val="22"/>
        </w:rPr>
        <w:t>No open-market buys were filed in the period. CEO Santana's 10b5-1 sales are consistent with a long-running pre-planned program at regular monthly intervals — no signal value. The DeNinno discretionary sale is the only non-plan transaction and is small relative to his remaining holdings.</w:t>
      </w:r>
    </w:p>
    <w:p>
      <w:r>
        <w:rPr>
          <w:rFonts w:ascii="Calibri" w:hAnsi="Calibri"/>
          <w:i/>
          <w:color w:val="525866"/>
          <w:sz w:val="22"/>
        </w:rPr>
        <w:t>Source: SEC Form 4 Filings Database; Insider Transaction Data.</w:t>
      </w:r>
    </w:p>
    <w:p>
      <w:r>
        <w:br w:type="page"/>
      </w:r>
    </w:p>
    <w:p>
      <w:pPr>
        <w:pStyle w:val="Heading2"/>
      </w:pPr>
      <w:r>
        <w:rPr>
          <w:rFonts w:ascii="Calibri" w:hAnsi="Calibri"/>
          <w:b/>
          <w:color w:val="3B4259"/>
          <w:sz w:val="28"/>
        </w:rPr>
        <w:t>9. Risks &amp; Considerations</w:t>
      </w:r>
    </w:p>
    <w:p>
      <w:pPr>
        <w:pStyle w:val="Heading3"/>
      </w:pPr>
      <w:r>
        <w:rPr>
          <w:rFonts w:ascii="Calibri" w:hAnsi="Calibri"/>
          <w:b/>
          <w:color w:val="3B4259"/>
          <w:sz w:val="24"/>
        </w:rPr>
        <w:t>Downside Risks</w:t>
      </w:r>
    </w:p>
    <w:p>
      <w:pPr>
        <w:pStyle w:val="ListBullet"/>
        <w:ind w:left="360" w:hanging="360"/>
      </w:pPr>
      <w:r>
        <w:rPr>
          <w:rFonts w:ascii="Calibri" w:hAnsi="Calibri"/>
          <w:b/>
          <w:color w:val="525866"/>
          <w:sz w:val="22"/>
        </w:rPr>
        <w:t xml:space="preserve">Tariff overshoot in Q2: </w:t>
      </w:r>
      <w:r>
        <w:rPr>
          <w:rFonts w:ascii="Calibri" w:hAnsi="Calibri"/>
          <w:color w:val="525866"/>
          <w:sz w:val="22"/>
        </w:rPr>
        <w:t>Management guided Q2 as the peak gross tariff impact quarter before H2 relief. If tariff costs continue to rise sequentially (e.g., new Canada tariffs, Section 232 escalation), margin guidance for H2 becomes at risk and the FY EPS raise could be partially reversed. This is the single biggest downside risk.</w:t>
      </w:r>
    </w:p>
    <w:p>
      <w:pPr>
        <w:pStyle w:val="ListBullet"/>
        <w:ind w:left="360" w:hanging="360"/>
      </w:pPr>
      <w:r>
        <w:rPr>
          <w:rFonts w:ascii="Calibri" w:hAnsi="Calibri"/>
          <w:b/>
          <w:color w:val="525866"/>
          <w:sz w:val="22"/>
        </w:rPr>
        <w:t xml:space="preserve">Non-operational tailwinds do not repeat: </w:t>
      </w:r>
      <w:r>
        <w:rPr>
          <w:rFonts w:ascii="Calibri" w:hAnsi="Calibri"/>
          <w:color w:val="525866"/>
          <w:sz w:val="22"/>
        </w:rPr>
        <w:t>Approximately $0.10 of Q1's EPS beat was non-operational (FX, tax timing). Management explicitly guided these items will not repeat in Q2. If FX turns adverse or tax timing reverses, Q2 EPS could come in below the $2.61 consensus even with solid operational performance.</w:t>
      </w:r>
    </w:p>
    <w:p>
      <w:pPr>
        <w:pStyle w:val="ListBullet"/>
        <w:ind w:left="360" w:hanging="360"/>
      </w:pPr>
      <w:r>
        <w:rPr>
          <w:rFonts w:ascii="Calibri" w:hAnsi="Calibri"/>
          <w:b/>
          <w:color w:val="525866"/>
          <w:sz w:val="22"/>
        </w:rPr>
        <w:t xml:space="preserve">Services revenue headwind persists: </w:t>
      </w:r>
      <w:r>
        <w:rPr>
          <w:rFonts w:ascii="Calibri" w:hAnsi="Calibri"/>
          <w:color w:val="525866"/>
          <w:sz w:val="22"/>
        </w:rPr>
        <w:t>Services revenue was down 17.3% YoY in Q1 due to lower modernization deliveries. If modernization timing slips further or core services growth decelerates, the revenue mix shift toward lower-margin equipment could pressure margins.</w:t>
      </w:r>
    </w:p>
    <w:p>
      <w:pPr>
        <w:pStyle w:val="ListBullet"/>
        <w:ind w:left="360" w:hanging="360"/>
      </w:pPr>
      <w:r>
        <w:rPr>
          <w:rFonts w:ascii="Calibri" w:hAnsi="Calibri"/>
          <w:b/>
          <w:color w:val="525866"/>
          <w:sz w:val="22"/>
        </w:rPr>
        <w:t xml:space="preserve">North American railcar build decline: </w:t>
      </w:r>
      <w:r>
        <w:rPr>
          <w:rFonts w:ascii="Calibri" w:hAnsi="Calibri"/>
          <w:color w:val="525866"/>
          <w:sz w:val="22"/>
        </w:rPr>
        <w:t>The North American railcar build is projected at ~24,000 cars for 2026 (down 22% from 2025), which is a headwind for WAB's components segment. GBX and TRN both confirmed this weakness is persisting through Q2 2026.</w:t>
      </w:r>
    </w:p>
    <w:p>
      <w:pPr>
        <w:pStyle w:val="ListBullet"/>
        <w:ind w:left="360" w:hanging="360"/>
      </w:pPr>
      <w:r>
        <w:rPr>
          <w:rFonts w:ascii="Calibri" w:hAnsi="Calibri"/>
          <w:b/>
          <w:color w:val="525866"/>
          <w:sz w:val="22"/>
        </w:rPr>
        <w:t xml:space="preserve">Acquisition integration risk: </w:t>
      </w:r>
      <w:r>
        <w:rPr>
          <w:rFonts w:ascii="Calibri" w:hAnsi="Calibri"/>
          <w:color w:val="525866"/>
          <w:sz w:val="22"/>
        </w:rPr>
        <w:t>Dellner, Frauscher, and Inspection Technologies are all tracking ahead of plan, but the company has deployed &gt;$4.5B across 20 acquisitions since 2020. Integration complexity and purchase accounting adjustments (which reduced GAAP margins in Q1) remain a watch item.</w:t>
      </w:r>
    </w:p>
    <w:p>
      <w:pPr>
        <w:pStyle w:val="ListBullet"/>
        <w:ind w:left="360" w:hanging="360"/>
      </w:pPr>
      <w:r>
        <w:rPr>
          <w:rFonts w:ascii="Calibri" w:hAnsi="Calibri"/>
          <w:b/>
          <w:color w:val="525866"/>
          <w:sz w:val="22"/>
        </w:rPr>
        <w:t xml:space="preserve">Leverage at the high end of target range: </w:t>
      </w:r>
      <w:r>
        <w:rPr>
          <w:rFonts w:ascii="Calibri" w:hAnsi="Calibri"/>
          <w:color w:val="525866"/>
          <w:sz w:val="22"/>
        </w:rPr>
        <w:t>Net debt leverage was 2.3x at Q1 end (within the 2–2.5x target range), but at the high end after funding the ~$1B Dellner acquisition. Limited capacity for additional M&amp;A without equity issuance or leverage creep.</w:t>
      </w:r>
    </w:p>
    <w:p>
      <w:pPr>
        <w:pStyle w:val="ListBullet"/>
        <w:ind w:left="360" w:hanging="360"/>
      </w:pPr>
      <w:r>
        <w:rPr>
          <w:rFonts w:ascii="Calibri" w:hAnsi="Calibri"/>
          <w:b/>
          <w:color w:val="525866"/>
          <w:sz w:val="22"/>
        </w:rPr>
        <w:t xml:space="preserve">Macro uncertainty delaying customer CapEx: </w:t>
      </w:r>
      <w:r>
        <w:rPr>
          <w:rFonts w:ascii="Calibri" w:hAnsi="Calibri"/>
          <w:color w:val="525866"/>
          <w:sz w:val="22"/>
        </w:rPr>
        <w:t>TRN and GBX both noted customers are delaying long-lived asset investment decisions due to tariff uncertainty. While WAB's record backlog provides near-term insulation, a prolonged CapEx freeze could slow order intake for new equipment.</w:t>
      </w:r>
    </w:p>
    <w:p>
      <w:pPr>
        <w:pStyle w:val="Heading3"/>
      </w:pPr>
      <w:r>
        <w:rPr>
          <w:rFonts w:ascii="Calibri" w:hAnsi="Calibri"/>
          <w:b/>
          <w:color w:val="3B4259"/>
          <w:sz w:val="24"/>
        </w:rPr>
        <w:t>Upside Risks</w:t>
      </w:r>
    </w:p>
    <w:p>
      <w:pPr>
        <w:pStyle w:val="ListBullet"/>
        <w:ind w:left="360" w:hanging="360"/>
      </w:pPr>
      <w:r>
        <w:rPr>
          <w:rFonts w:ascii="Calibri" w:hAnsi="Calibri"/>
          <w:b/>
          <w:color w:val="525866"/>
          <w:sz w:val="22"/>
        </w:rPr>
        <w:t xml:space="preserve">Tariff mitigation ahead of plan: </w:t>
      </w:r>
      <w:r>
        <w:rPr>
          <w:rFonts w:ascii="Calibri" w:hAnsi="Calibri"/>
          <w:color w:val="525866"/>
          <w:sz w:val="22"/>
        </w:rPr>
        <w:t>WAB's four-pronged tariff mitigation strategy (USMCA exemptions, supply chain shifts, customer cost-sharing, pricing) could deliver better-than-expected net tariff impact, driving another operational beat similar to Q1.</w:t>
      </w:r>
    </w:p>
    <w:p>
      <w:pPr>
        <w:pStyle w:val="ListBullet"/>
        <w:ind w:left="360" w:hanging="360"/>
      </w:pPr>
      <w:r>
        <w:rPr>
          <w:rFonts w:ascii="Calibri" w:hAnsi="Calibri"/>
          <w:b/>
          <w:color w:val="525866"/>
          <w:sz w:val="22"/>
        </w:rPr>
        <w:t xml:space="preserve">FX tailwind persists: </w:t>
      </w:r>
      <w:r>
        <w:rPr>
          <w:rFonts w:ascii="Calibri" w:hAnsi="Calibri"/>
          <w:color w:val="525866"/>
          <w:sz w:val="22"/>
        </w:rPr>
        <w:t>If the USD weakens further vs. key currencies (EUR, BRL, KZT), the non-operational FX benefit that drove ~$0.05 of Q1's beat could partially repeat, providing upside to the $2.61 consensus.</w:t>
      </w:r>
    </w:p>
    <w:p>
      <w:pPr>
        <w:pStyle w:val="ListBullet"/>
        <w:ind w:left="360" w:hanging="360"/>
      </w:pPr>
      <w:r>
        <w:rPr>
          <w:rFonts w:ascii="Calibri" w:hAnsi="Calibri"/>
          <w:b/>
          <w:color w:val="525866"/>
          <w:sz w:val="22"/>
        </w:rPr>
        <w:t xml:space="preserve">International order momentum: </w:t>
      </w:r>
      <w:r>
        <w:rPr>
          <w:rFonts w:ascii="Calibri" w:hAnsi="Calibri"/>
          <w:color w:val="525866"/>
          <w:sz w:val="22"/>
        </w:rPr>
        <w:t>The $4.2B Kazakhstan order and strong pipeline in Brazil, Africa, and CIS provide multi-year visibility. Any new international order announcements in Q2 would be a positive catalyst.</w:t>
      </w:r>
    </w:p>
    <w:p>
      <w:pPr>
        <w:pStyle w:val="ListBullet"/>
        <w:ind w:left="360" w:hanging="360"/>
      </w:pPr>
      <w:r>
        <w:rPr>
          <w:rFonts w:ascii="Calibri" w:hAnsi="Calibri"/>
          <w:b/>
          <w:color w:val="525866"/>
          <w:sz w:val="22"/>
        </w:rPr>
        <w:t xml:space="preserve">EVO modernization commercial launch: </w:t>
      </w:r>
      <w:r>
        <w:rPr>
          <w:rFonts w:ascii="Calibri" w:hAnsi="Calibri"/>
          <w:color w:val="525866"/>
          <w:sz w:val="22"/>
        </w:rPr>
        <w:t>WAB is executing the first EVO modernization build for commercial rollout. Any acceleration in EVO orders or Zero-to-Zero automation approval could drive upside to the modernization revenue outlook.</w:t>
      </w:r>
    </w:p>
    <w:p>
      <w:pPr>
        <w:pStyle w:val="ListBullet"/>
        <w:ind w:left="360" w:hanging="360"/>
      </w:pPr>
      <w:r>
        <w:rPr>
          <w:rFonts w:ascii="Calibri" w:hAnsi="Calibri"/>
          <w:b/>
          <w:color w:val="525866"/>
          <w:sz w:val="22"/>
        </w:rPr>
        <w:t xml:space="preserve">Digital Intelligence acceleration: </w:t>
      </w:r>
      <w:r>
        <w:rPr>
          <w:rFonts w:ascii="Calibri" w:hAnsi="Calibri"/>
          <w:color w:val="525866"/>
          <w:sz w:val="22"/>
        </w:rPr>
        <w:t>Digital Intelligence revenue was up 75.7% YoY in Q1 (driven by Inspection Technologies and Frauscher). If the digital business continues to outperform, it could offset the services revenue headwind from lower modernization deliveries.</w:t>
      </w:r>
    </w:p>
    <w:p>
      <w:pPr>
        <w:pStyle w:val="ListBullet"/>
        <w:ind w:left="360" w:hanging="360"/>
      </w:pPr>
      <w:r>
        <w:rPr>
          <w:rFonts w:ascii="Calibri" w:hAnsi="Calibri"/>
          <w:b/>
          <w:color w:val="525866"/>
          <w:sz w:val="22"/>
        </w:rPr>
        <w:t xml:space="preserve">Transit margin expansion: </w:t>
      </w:r>
      <w:r>
        <w:rPr>
          <w:rFonts w:ascii="Calibri" w:hAnsi="Calibri"/>
          <w:color w:val="525866"/>
          <w:sz w:val="22"/>
        </w:rPr>
        <w:t>Transit adjusted operating margin expanded 200 bps YoY to 16.6% in Q1, aided by Dellner (which carries above-company-average margins). Continued Transit margin expansion toward the high-teens target would be a positive surprise.</w:t>
      </w:r>
    </w:p>
    <w:p>
      <w:r>
        <w:br w:type="page"/>
      </w:r>
    </w:p>
    <w:p>
      <w:pPr>
        <w:pStyle w:val="Heading2"/>
      </w:pPr>
      <w:r>
        <w:rPr>
          <w:rFonts w:ascii="Calibri" w:hAnsi="Calibri"/>
          <w:b/>
          <w:color w:val="3B4259"/>
          <w:sz w:val="28"/>
        </w:rPr>
        <w:t>Appendix: Key Data Sources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 All KPI consensus estimates and actuals (Revenue, Adj. EPS, Operating Margin, Backlog, Segment Revenue, Services Revenue). Source: https://insights.visiblealpha.com/mex/WAB_US/NMV/IS</w:t>
      </w:r>
    </w:p>
    <w:p>
      <w:pPr>
        <w:pStyle w:val="ListBullet"/>
        <w:ind w:left="360" w:hanging="360"/>
      </w:pPr>
      <w:r>
        <w:rPr>
          <w:rFonts w:ascii="Calibri" w:hAnsi="Calibri"/>
          <w:b/>
          <w:color w:val="525866"/>
          <w:sz w:val="22"/>
        </w:rPr>
        <w:t>WAB Q1 2026 Earnings Call Transcript</w:t>
      </w:r>
      <w:r>
        <w:rPr>
          <w:rFonts w:ascii="Calibri" w:hAnsi="Calibri"/>
          <w:color w:val="525866"/>
          <w:sz w:val="22"/>
        </w:rPr>
        <w:t xml:space="preserve"> — April 22, 2026. Primary source for guidance, management commentary, and Q2 setup. Source: documents/WAB/transcript/earnings/2026Q1/raw_document.txt</w:t>
      </w:r>
    </w:p>
    <w:p>
      <w:pPr>
        <w:pStyle w:val="ListBullet"/>
        <w:ind w:left="360" w:hanging="360"/>
      </w:pPr>
      <w:r>
        <w:rPr>
          <w:rFonts w:ascii="Calibri" w:hAnsi="Calibri"/>
          <w:b/>
          <w:color w:val="525866"/>
          <w:sz w:val="22"/>
        </w:rPr>
        <w:t>WAB Q1 2026 Earnings Release (8-K EX-99.1)</w:t>
      </w:r>
      <w:r>
        <w:rPr>
          <w:rFonts w:ascii="Calibri" w:hAnsi="Calibri"/>
          <w:color w:val="525866"/>
          <w:sz w:val="22"/>
        </w:rPr>
        <w:t xml:space="preserve"> — April 22, 2026. Source: documents/WAB/8K/000162828026026384/8KEX99.1/</w:t>
      </w:r>
    </w:p>
    <w:p>
      <w:pPr>
        <w:pStyle w:val="ListBullet"/>
        <w:ind w:left="360" w:hanging="360"/>
      </w:pPr>
      <w:r>
        <w:rPr>
          <w:rFonts w:ascii="Calibri" w:hAnsi="Calibri"/>
          <w:b/>
          <w:color w:val="525866"/>
          <w:sz w:val="22"/>
        </w:rPr>
        <w:t>GBX Q3 FY2026 Earnings Call Transcript</w:t>
      </w:r>
      <w:r>
        <w:rPr>
          <w:rFonts w:ascii="Calibri" w:hAnsi="Calibri"/>
          <w:color w:val="525866"/>
          <w:sz w:val="22"/>
        </w:rPr>
        <w:t xml:space="preserve"> — July 1, 2026. Source: documents/GBX/transcript/earnings/2026Q3/raw_document.txt</w:t>
      </w:r>
    </w:p>
    <w:p>
      <w:pPr>
        <w:pStyle w:val="ListBullet"/>
        <w:ind w:left="360" w:hanging="360"/>
      </w:pPr>
      <w:r>
        <w:rPr>
          <w:rFonts w:ascii="Calibri" w:hAnsi="Calibri"/>
          <w:b/>
          <w:color w:val="525866"/>
          <w:sz w:val="22"/>
        </w:rPr>
        <w:t>TRN Wells Fargo Industrials &amp; Materials Conference Transcript</w:t>
      </w:r>
      <w:r>
        <w:rPr>
          <w:rFonts w:ascii="Calibri" w:hAnsi="Calibri"/>
          <w:color w:val="525866"/>
          <w:sz w:val="22"/>
        </w:rPr>
        <w:t xml:space="preserve"> — June 10, 2026. Source: documents/TRN/transcript/non-earnings/Wells Fargo Industrials &amp; Materials Conference/2026-06-10/raw_document.txt</w:t>
      </w:r>
    </w:p>
    <w:p>
      <w:pPr>
        <w:pStyle w:val="ListBullet"/>
        <w:ind w:left="360" w:hanging="360"/>
      </w:pPr>
      <w:r>
        <w:rPr>
          <w:rFonts w:ascii="Calibri" w:hAnsi="Calibri"/>
          <w:b/>
          <w:color w:val="525866"/>
          <w:sz w:val="22"/>
        </w:rPr>
        <w:t>Stock Price Data</w:t>
      </w:r>
      <w:r>
        <w:rPr>
          <w:rFonts w:ascii="Calibri" w:hAnsi="Calibri"/>
          <w:color w:val="525866"/>
          <w:sz w:val="22"/>
        </w:rPr>
        <w:t xml:space="preserve"> — WAB, IYT, SPY daily close prices April 22 – July 21, 2026. Source: Yahoo Finance</w:t>
      </w:r>
    </w:p>
    <w:p>
      <w:pPr>
        <w:pStyle w:val="ListBullet"/>
        <w:ind w:left="360" w:hanging="360"/>
      </w:pPr>
      <w:r>
        <w:rPr>
          <w:rFonts w:ascii="Calibri" w:hAnsi="Calibri"/>
          <w:b/>
          <w:color w:val="525866"/>
          <w:sz w:val="22"/>
        </w:rPr>
        <w:t>SEC Form 4 Filings Database</w:t>
      </w:r>
      <w:r>
        <w:rPr>
          <w:rFonts w:ascii="Calibri" w:hAnsi="Calibri"/>
          <w:color w:val="525866"/>
          <w:sz w:val="22"/>
        </w:rPr>
        <w:t xml:space="preserve"> — Insider transaction data for WAB, April 22 – July 21, 2026. Source: https://www.sec.gov/</w:t>
      </w:r>
    </w:p>
    <w:p>
      <w:pPr>
        <w:pStyle w:val="ListBullet"/>
        <w:ind w:left="360" w:hanging="360"/>
      </w:pPr>
      <w:r>
        <w:rPr>
          <w:rFonts w:ascii="Calibri" w:hAnsi="Calibri"/>
          <w:b/>
          <w:color w:val="525866"/>
          <w:sz w:val="22"/>
        </w:rPr>
        <w:t>Daily News Digest</w:t>
      </w:r>
      <w:r>
        <w:rPr>
          <w:rFonts w:ascii="Calibri" w:hAnsi="Calibri"/>
          <w:color w:val="525866"/>
          <w:sz w:val="22"/>
        </w:rPr>
        <w:t xml:space="preserve"> — JBHT Q2 2026 earnings (July 15), MMM Q2 2026 earnings (July 21), GE Q2 2026 earnings (July 16), Daimler Truck guidance cut (July 8), tariff policy developments (July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